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E595A" w14:textId="08E7F89A" w:rsidR="009E64AA" w:rsidRDefault="006A0FC5">
      <w:pPr>
        <w:rPr>
          <w:rFonts w:ascii="Verdana" w:hAnsi="Verdana"/>
          <w:sz w:val="20"/>
          <w:szCs w:val="20"/>
        </w:rPr>
      </w:pPr>
      <w:r>
        <w:rPr>
          <w:rFonts w:ascii="Verdana" w:hAnsi="Verdana"/>
          <w:sz w:val="20"/>
          <w:szCs w:val="20"/>
        </w:rPr>
        <w:t>L</w:t>
      </w:r>
      <w:r w:rsidR="009E64AA">
        <w:rPr>
          <w:rFonts w:ascii="Verdana" w:hAnsi="Verdana"/>
          <w:sz w:val="20"/>
          <w:szCs w:val="20"/>
        </w:rPr>
        <w:t xml:space="preserve">e attività di rilascio delle </w:t>
      </w:r>
      <w:r w:rsidR="009E64AA" w:rsidRPr="006A0FC5">
        <w:rPr>
          <w:rFonts w:ascii="Verdana" w:hAnsi="Verdana"/>
          <w:b/>
          <w:bCs/>
          <w:color w:val="FF0000"/>
          <w:sz w:val="20"/>
          <w:szCs w:val="20"/>
        </w:rPr>
        <w:t>CIE</w:t>
      </w:r>
      <w:r w:rsidR="009E64AA">
        <w:rPr>
          <w:rFonts w:ascii="Verdana" w:hAnsi="Verdana"/>
          <w:sz w:val="20"/>
          <w:szCs w:val="20"/>
        </w:rPr>
        <w:t xml:space="preserve"> in sostituzione delle cartacee sono state pianificate grazie ad apposita decisione di Giunta, e alcune delle iniziative previste sono già operative, come il potenziamento degli sportelli.</w:t>
      </w:r>
    </w:p>
    <w:p w14:paraId="460B8E35" w14:textId="63C4881D" w:rsidR="00FB1456" w:rsidRDefault="009E64AA">
      <w:pPr>
        <w:rPr>
          <w:rFonts w:ascii="Verdana" w:hAnsi="Verdana"/>
          <w:sz w:val="20"/>
          <w:szCs w:val="20"/>
        </w:rPr>
      </w:pPr>
      <w:r>
        <w:rPr>
          <w:rFonts w:ascii="Verdana" w:hAnsi="Verdana"/>
          <w:sz w:val="20"/>
          <w:szCs w:val="20"/>
        </w:rPr>
        <w:t xml:space="preserve">Ad esempio, Europa Novacella, che </w:t>
      </w:r>
      <w:r w:rsidRPr="003703BE">
        <w:rPr>
          <w:rFonts w:ascii="Verdana" w:hAnsi="Verdana"/>
          <w:b/>
          <w:bCs/>
          <w:sz w:val="20"/>
          <w:szCs w:val="20"/>
        </w:rPr>
        <w:t>erogava</w:t>
      </w:r>
      <w:r>
        <w:rPr>
          <w:rFonts w:ascii="Verdana" w:hAnsi="Verdana"/>
          <w:sz w:val="20"/>
          <w:szCs w:val="20"/>
        </w:rPr>
        <w:t xml:space="preserve"> il servizio di richiesta CIE per </w:t>
      </w:r>
      <w:r w:rsidRPr="003703BE">
        <w:rPr>
          <w:rFonts w:ascii="Verdana" w:hAnsi="Verdana"/>
          <w:b/>
          <w:bCs/>
          <w:sz w:val="20"/>
          <w:szCs w:val="20"/>
        </w:rPr>
        <w:t>4,5 ore al giorno</w:t>
      </w:r>
      <w:r>
        <w:rPr>
          <w:rFonts w:ascii="Verdana" w:hAnsi="Verdana"/>
          <w:sz w:val="20"/>
          <w:szCs w:val="20"/>
        </w:rPr>
        <w:t xml:space="preserve">, </w:t>
      </w:r>
      <w:r w:rsidRPr="003703BE">
        <w:rPr>
          <w:rFonts w:ascii="Verdana" w:hAnsi="Verdana"/>
          <w:b/>
          <w:bCs/>
          <w:sz w:val="20"/>
          <w:szCs w:val="20"/>
        </w:rPr>
        <w:t>ora</w:t>
      </w:r>
      <w:r>
        <w:rPr>
          <w:rFonts w:ascii="Verdana" w:hAnsi="Verdana"/>
          <w:sz w:val="20"/>
          <w:szCs w:val="20"/>
        </w:rPr>
        <w:t xml:space="preserve"> lo fa per complessive </w:t>
      </w:r>
      <w:r w:rsidRPr="00AD7651">
        <w:rPr>
          <w:rFonts w:ascii="Verdana" w:hAnsi="Verdana"/>
          <w:b/>
          <w:bCs/>
          <w:sz w:val="20"/>
          <w:szCs w:val="20"/>
        </w:rPr>
        <w:t>15 ore al giorno con due sportelli ad apertura fin dalle ore 07.30</w:t>
      </w:r>
      <w:r>
        <w:rPr>
          <w:rFonts w:ascii="Verdana" w:hAnsi="Verdana"/>
          <w:sz w:val="20"/>
          <w:szCs w:val="20"/>
        </w:rPr>
        <w:t>.</w:t>
      </w:r>
    </w:p>
    <w:p w14:paraId="637D268C" w14:textId="77777777" w:rsidR="009E64AA" w:rsidRDefault="009E64AA">
      <w:pPr>
        <w:rPr>
          <w:rFonts w:ascii="Verdana" w:hAnsi="Verdana"/>
          <w:sz w:val="20"/>
          <w:szCs w:val="20"/>
        </w:rPr>
      </w:pPr>
    </w:p>
    <w:p w14:paraId="58293F79" w14:textId="62E37796" w:rsidR="009E64AA" w:rsidRDefault="009E64AA">
      <w:pPr>
        <w:rPr>
          <w:rFonts w:ascii="Verdana" w:hAnsi="Verdana"/>
          <w:sz w:val="20"/>
          <w:szCs w:val="20"/>
        </w:rPr>
      </w:pPr>
      <w:r>
        <w:rPr>
          <w:rFonts w:ascii="Verdana" w:hAnsi="Verdana"/>
          <w:sz w:val="20"/>
          <w:szCs w:val="20"/>
        </w:rPr>
        <w:t>Sono in corso di programmazione altre aperture straordinarie, tra cui alcune che interesseranno la fascia oraria dalle 18.00 alle 20.00, attraverso cui si intende agevolare l’accesso dei lavoratori e degli studenti.</w:t>
      </w:r>
    </w:p>
    <w:p w14:paraId="11A6C3E2" w14:textId="77777777" w:rsidR="009E64AA" w:rsidRDefault="009E64AA">
      <w:pPr>
        <w:rPr>
          <w:rFonts w:ascii="Verdana" w:hAnsi="Verdana"/>
          <w:sz w:val="20"/>
          <w:szCs w:val="20"/>
        </w:rPr>
      </w:pPr>
    </w:p>
    <w:p w14:paraId="5B06CC9C" w14:textId="51443B2B" w:rsidR="009E64AA" w:rsidRDefault="009E64AA">
      <w:pPr>
        <w:rPr>
          <w:rFonts w:ascii="Verdana" w:hAnsi="Verdana"/>
          <w:sz w:val="20"/>
          <w:szCs w:val="20"/>
        </w:rPr>
      </w:pPr>
      <w:r>
        <w:rPr>
          <w:rFonts w:ascii="Verdana" w:hAnsi="Verdana"/>
          <w:sz w:val="20"/>
          <w:szCs w:val="20"/>
        </w:rPr>
        <w:t>Contestualmente sarà promosso il servizio di attivazione delle CIE come strumenti di identità digitale, con indicazioni sul supporto di cui avvalersi all’arrivo della CIE al domicilio con la seconda parte dei codici PIN e PUK.</w:t>
      </w:r>
    </w:p>
    <w:p w14:paraId="3D43D687" w14:textId="77777777" w:rsidR="005912D1" w:rsidRDefault="005912D1">
      <w:pPr>
        <w:rPr>
          <w:rFonts w:ascii="Verdana" w:hAnsi="Verdana"/>
          <w:sz w:val="20"/>
          <w:szCs w:val="20"/>
        </w:rPr>
      </w:pPr>
    </w:p>
    <w:p w14:paraId="367AB026" w14:textId="77777777" w:rsidR="005912D1" w:rsidRDefault="005912D1">
      <w:pPr>
        <w:rPr>
          <w:rFonts w:ascii="Verdana" w:hAnsi="Verdana"/>
          <w:sz w:val="20"/>
          <w:szCs w:val="20"/>
        </w:rPr>
      </w:pPr>
    </w:p>
    <w:p w14:paraId="43874643" w14:textId="77777777" w:rsidR="005912D1" w:rsidRDefault="005912D1" w:rsidP="005912D1">
      <w:pPr>
        <w:jc w:val="both"/>
        <w:rPr>
          <w:rFonts w:ascii="Verdana" w:hAnsi="Verdana"/>
          <w:sz w:val="20"/>
          <w:szCs w:val="20"/>
        </w:rPr>
      </w:pPr>
      <w:r>
        <w:rPr>
          <w:rFonts w:ascii="Verdana" w:hAnsi="Verdana"/>
          <w:sz w:val="20"/>
          <w:szCs w:val="20"/>
        </w:rPr>
        <w:t>ORARI CIE:</w:t>
      </w:r>
    </w:p>
    <w:p w14:paraId="379F419F" w14:textId="77777777" w:rsidR="005912D1" w:rsidRDefault="005912D1" w:rsidP="005912D1">
      <w:pPr>
        <w:jc w:val="both"/>
        <w:rPr>
          <w:rFonts w:ascii="Verdana" w:hAnsi="Verdana"/>
          <w:sz w:val="20"/>
          <w:szCs w:val="20"/>
        </w:rPr>
      </w:pPr>
    </w:p>
    <w:p w14:paraId="73A53CF6" w14:textId="77777777" w:rsidR="005912D1" w:rsidRDefault="005912D1" w:rsidP="005912D1">
      <w:pPr>
        <w:jc w:val="both"/>
        <w:rPr>
          <w:rFonts w:ascii="Verdana" w:hAnsi="Verdana"/>
          <w:sz w:val="20"/>
          <w:szCs w:val="20"/>
        </w:rPr>
      </w:pPr>
      <w:r>
        <w:rPr>
          <w:rFonts w:ascii="Verdana" w:hAnsi="Verdana"/>
          <w:sz w:val="20"/>
          <w:szCs w:val="20"/>
        </w:rPr>
        <w:t>Anagrafe via Vintler</w:t>
      </w:r>
      <w:r>
        <w:rPr>
          <w:rFonts w:ascii="Verdana" w:hAnsi="Verdana"/>
          <w:sz w:val="20"/>
          <w:szCs w:val="20"/>
        </w:rPr>
        <w:tab/>
      </w:r>
      <w:r>
        <w:rPr>
          <w:rFonts w:ascii="Verdana" w:hAnsi="Verdana"/>
          <w:sz w:val="20"/>
          <w:szCs w:val="20"/>
        </w:rPr>
        <w:tab/>
        <w:t>08.30-13.00 giovedì 08.30-17.00</w:t>
      </w:r>
    </w:p>
    <w:p w14:paraId="25209F28" w14:textId="77777777" w:rsidR="005912D1" w:rsidRDefault="005912D1" w:rsidP="005912D1">
      <w:pPr>
        <w:jc w:val="both"/>
        <w:rPr>
          <w:rFonts w:ascii="Verdana" w:hAnsi="Verdana"/>
          <w:sz w:val="20"/>
          <w:szCs w:val="20"/>
        </w:rPr>
      </w:pPr>
      <w:r>
        <w:rPr>
          <w:rFonts w:ascii="Verdana" w:hAnsi="Verdana"/>
          <w:sz w:val="20"/>
          <w:szCs w:val="20"/>
        </w:rPr>
        <w:t>Europa Novacella</w:t>
      </w:r>
      <w:r>
        <w:rPr>
          <w:rFonts w:ascii="Verdana" w:hAnsi="Verdana"/>
          <w:sz w:val="20"/>
          <w:szCs w:val="20"/>
        </w:rPr>
        <w:tab/>
      </w:r>
      <w:r>
        <w:rPr>
          <w:rFonts w:ascii="Verdana" w:hAnsi="Verdana"/>
          <w:sz w:val="20"/>
          <w:szCs w:val="20"/>
        </w:rPr>
        <w:tab/>
        <w:t>07.30-15.30</w:t>
      </w:r>
    </w:p>
    <w:p w14:paraId="6F8689AF" w14:textId="77777777" w:rsidR="005912D1" w:rsidRDefault="005912D1" w:rsidP="005912D1">
      <w:pPr>
        <w:jc w:val="both"/>
        <w:rPr>
          <w:rFonts w:ascii="Verdana" w:hAnsi="Verdana"/>
          <w:sz w:val="20"/>
          <w:szCs w:val="20"/>
        </w:rPr>
      </w:pPr>
      <w:r>
        <w:rPr>
          <w:rFonts w:ascii="Verdana" w:hAnsi="Verdana"/>
          <w:sz w:val="20"/>
          <w:szCs w:val="20"/>
        </w:rPr>
        <w:t>Firmian</w:t>
      </w:r>
      <w:r>
        <w:rPr>
          <w:rFonts w:ascii="Verdana" w:hAnsi="Verdana"/>
          <w:sz w:val="20"/>
          <w:szCs w:val="20"/>
        </w:rPr>
        <w:tab/>
      </w:r>
      <w:r>
        <w:rPr>
          <w:rFonts w:ascii="Verdana" w:hAnsi="Verdana"/>
          <w:sz w:val="20"/>
          <w:szCs w:val="20"/>
        </w:rPr>
        <w:tab/>
      </w:r>
      <w:r>
        <w:rPr>
          <w:rFonts w:ascii="Verdana" w:hAnsi="Verdana"/>
          <w:sz w:val="20"/>
          <w:szCs w:val="20"/>
        </w:rPr>
        <w:tab/>
        <w:t>07.30-12.00 giovedì 07.30-14.00</w:t>
      </w:r>
    </w:p>
    <w:p w14:paraId="175CFBB5" w14:textId="77777777" w:rsidR="005912D1" w:rsidRDefault="005912D1" w:rsidP="005912D1">
      <w:pPr>
        <w:jc w:val="both"/>
        <w:rPr>
          <w:rFonts w:ascii="Verdana" w:hAnsi="Verdana"/>
          <w:sz w:val="20"/>
          <w:szCs w:val="20"/>
        </w:rPr>
      </w:pPr>
      <w:r>
        <w:rPr>
          <w:rFonts w:ascii="Verdana" w:hAnsi="Verdana"/>
          <w:sz w:val="20"/>
          <w:szCs w:val="20"/>
        </w:rPr>
        <w:t>Gries</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08.30-13.00 giovedì 08.30-15.00</w:t>
      </w:r>
    </w:p>
    <w:p w14:paraId="65310F6A" w14:textId="77777777" w:rsidR="005912D1" w:rsidRDefault="005912D1" w:rsidP="005912D1">
      <w:pPr>
        <w:jc w:val="both"/>
        <w:rPr>
          <w:rFonts w:ascii="Verdana" w:hAnsi="Verdana"/>
          <w:sz w:val="20"/>
          <w:szCs w:val="20"/>
        </w:rPr>
      </w:pPr>
      <w:r>
        <w:rPr>
          <w:rFonts w:ascii="Verdana" w:hAnsi="Verdana"/>
          <w:sz w:val="20"/>
          <w:szCs w:val="20"/>
        </w:rPr>
        <w:t>Oltrisarco</w:t>
      </w:r>
      <w:r>
        <w:rPr>
          <w:rFonts w:ascii="Verdana" w:hAnsi="Verdana"/>
          <w:sz w:val="20"/>
          <w:szCs w:val="20"/>
        </w:rPr>
        <w:tab/>
      </w:r>
      <w:r>
        <w:rPr>
          <w:rFonts w:ascii="Verdana" w:hAnsi="Verdana"/>
          <w:sz w:val="20"/>
          <w:szCs w:val="20"/>
        </w:rPr>
        <w:tab/>
      </w:r>
      <w:r>
        <w:rPr>
          <w:rFonts w:ascii="Verdana" w:hAnsi="Verdana"/>
          <w:sz w:val="20"/>
          <w:szCs w:val="20"/>
        </w:rPr>
        <w:tab/>
        <w:t>08.30-13.00 giovedì 08.30-15.00</w:t>
      </w:r>
    </w:p>
    <w:p w14:paraId="26294C59" w14:textId="77777777" w:rsidR="005912D1" w:rsidRDefault="005912D1" w:rsidP="005912D1">
      <w:pPr>
        <w:jc w:val="both"/>
        <w:rPr>
          <w:rFonts w:ascii="Verdana" w:hAnsi="Verdana"/>
          <w:sz w:val="20"/>
          <w:szCs w:val="20"/>
        </w:rPr>
      </w:pPr>
    </w:p>
    <w:p w14:paraId="1962A8F5" w14:textId="77777777" w:rsidR="005912D1" w:rsidRDefault="005912D1" w:rsidP="005912D1">
      <w:pPr>
        <w:jc w:val="both"/>
        <w:rPr>
          <w:rFonts w:ascii="Verdana" w:hAnsi="Verdana"/>
          <w:sz w:val="20"/>
          <w:szCs w:val="20"/>
        </w:rPr>
      </w:pPr>
    </w:p>
    <w:p w14:paraId="78F88270" w14:textId="2D380867" w:rsidR="005912D1" w:rsidRDefault="005912D1" w:rsidP="005912D1">
      <w:pPr>
        <w:jc w:val="both"/>
        <w:rPr>
          <w:rFonts w:ascii="Verdana" w:hAnsi="Verdana"/>
          <w:sz w:val="20"/>
          <w:szCs w:val="20"/>
        </w:rPr>
      </w:pPr>
      <w:r>
        <w:rPr>
          <w:rFonts w:ascii="Verdana" w:hAnsi="Verdana"/>
          <w:sz w:val="20"/>
          <w:szCs w:val="20"/>
        </w:rPr>
        <w:t>P</w:t>
      </w:r>
      <w:r w:rsidR="003703BE">
        <w:rPr>
          <w:rFonts w:ascii="Verdana" w:hAnsi="Verdana"/>
          <w:sz w:val="20"/>
          <w:szCs w:val="20"/>
        </w:rPr>
        <w:t>r</w:t>
      </w:r>
      <w:r>
        <w:rPr>
          <w:rFonts w:ascii="Verdana" w:hAnsi="Verdana"/>
          <w:sz w:val="20"/>
          <w:szCs w:val="20"/>
        </w:rPr>
        <w:t>enotazioni:  ONLINE o tramite i Centri civici, Digipoint o lasciando un messaggio alla segreteria al n. 0471 997124</w:t>
      </w:r>
    </w:p>
    <w:p w14:paraId="70B0EECE" w14:textId="77777777" w:rsidR="005912D1" w:rsidRDefault="005912D1" w:rsidP="005912D1">
      <w:pPr>
        <w:jc w:val="both"/>
        <w:rPr>
          <w:rFonts w:ascii="Verdana" w:hAnsi="Verdana"/>
          <w:sz w:val="20"/>
          <w:szCs w:val="20"/>
        </w:rPr>
      </w:pPr>
    </w:p>
    <w:p w14:paraId="4EC6593C" w14:textId="77777777" w:rsidR="005912D1" w:rsidRDefault="005912D1" w:rsidP="005912D1">
      <w:pPr>
        <w:jc w:val="both"/>
        <w:rPr>
          <w:rFonts w:ascii="Verdana" w:hAnsi="Verdana"/>
          <w:sz w:val="20"/>
          <w:szCs w:val="20"/>
        </w:rPr>
      </w:pPr>
      <w:r>
        <w:rPr>
          <w:rFonts w:ascii="Verdana" w:hAnsi="Verdana"/>
          <w:sz w:val="20"/>
          <w:szCs w:val="20"/>
        </w:rPr>
        <w:t>Costo: 22 EURO.</w:t>
      </w:r>
    </w:p>
    <w:p w14:paraId="2A5A2B24" w14:textId="77777777" w:rsidR="005912D1" w:rsidRDefault="005912D1" w:rsidP="005912D1">
      <w:pPr>
        <w:jc w:val="both"/>
        <w:rPr>
          <w:rFonts w:ascii="Verdana" w:hAnsi="Verdana"/>
          <w:sz w:val="20"/>
          <w:szCs w:val="20"/>
        </w:rPr>
      </w:pPr>
      <w:r>
        <w:rPr>
          <w:rFonts w:ascii="Verdana" w:hAnsi="Verdana"/>
          <w:sz w:val="20"/>
          <w:szCs w:val="20"/>
        </w:rPr>
        <w:t>Documenti necessari oltre alla fotografia:</w:t>
      </w:r>
    </w:p>
    <w:p w14:paraId="595596CE" w14:textId="6035BD79" w:rsidR="005912D1" w:rsidRDefault="005912D1" w:rsidP="005912D1">
      <w:pPr>
        <w:rPr>
          <w:rFonts w:ascii="Verdana" w:hAnsi="Verdana"/>
          <w:sz w:val="20"/>
          <w:szCs w:val="20"/>
        </w:rPr>
      </w:pPr>
      <w:hyperlink r:id="rId4" w:history="1">
        <w:r w:rsidRPr="005912D1">
          <w:rPr>
            <w:rStyle w:val="Collegamentoipertestuale"/>
            <w:rFonts w:ascii="Verdana" w:hAnsi="Verdana"/>
            <w:sz w:val="20"/>
            <w:szCs w:val="20"/>
          </w:rPr>
          <w:t>Chiedere la Carta d'identità elettronica / Servizi / Homepage - Comune di Bolzano</w:t>
        </w:r>
      </w:hyperlink>
    </w:p>
    <w:p w14:paraId="49322EBA" w14:textId="77777777" w:rsidR="005912D1" w:rsidRDefault="005912D1" w:rsidP="005912D1">
      <w:pPr>
        <w:rPr>
          <w:rFonts w:ascii="Verdana" w:hAnsi="Verdana"/>
          <w:sz w:val="20"/>
          <w:szCs w:val="20"/>
        </w:rPr>
      </w:pPr>
    </w:p>
    <w:p w14:paraId="5D6BC1C7" w14:textId="77777777" w:rsidR="005912D1" w:rsidRDefault="005912D1" w:rsidP="005912D1">
      <w:pPr>
        <w:rPr>
          <w:rFonts w:ascii="Verdana" w:hAnsi="Verdana"/>
          <w:sz w:val="20"/>
          <w:szCs w:val="20"/>
        </w:rPr>
      </w:pPr>
    </w:p>
    <w:p w14:paraId="3662A151" w14:textId="6656C3C8" w:rsidR="005912D1" w:rsidRDefault="006A0FC5" w:rsidP="006A0FC5">
      <w:pPr>
        <w:jc w:val="center"/>
        <w:rPr>
          <w:rFonts w:ascii="Verdana" w:hAnsi="Verdana"/>
          <w:sz w:val="20"/>
          <w:szCs w:val="20"/>
        </w:rPr>
      </w:pPr>
      <w:r>
        <w:rPr>
          <w:rFonts w:ascii="Verdana" w:hAnsi="Verdana"/>
          <w:sz w:val="20"/>
          <w:szCs w:val="20"/>
        </w:rPr>
        <w:t>***</w:t>
      </w:r>
    </w:p>
    <w:p w14:paraId="050BF913" w14:textId="77777777" w:rsidR="009E64AA" w:rsidRDefault="009E64AA">
      <w:pPr>
        <w:rPr>
          <w:rFonts w:ascii="Verdana" w:hAnsi="Verdana"/>
          <w:sz w:val="20"/>
          <w:szCs w:val="20"/>
        </w:rPr>
      </w:pPr>
    </w:p>
    <w:p w14:paraId="51B68411" w14:textId="5F20579A" w:rsidR="009E64AA" w:rsidRDefault="009E64AA">
      <w:pPr>
        <w:rPr>
          <w:rFonts w:ascii="Verdana" w:hAnsi="Verdana"/>
          <w:sz w:val="20"/>
          <w:szCs w:val="20"/>
        </w:rPr>
      </w:pPr>
      <w:r>
        <w:rPr>
          <w:rFonts w:ascii="Verdana" w:hAnsi="Verdana"/>
          <w:sz w:val="20"/>
          <w:szCs w:val="20"/>
        </w:rPr>
        <w:t xml:space="preserve">Sul versante della </w:t>
      </w:r>
      <w:r w:rsidRPr="006A0FC5">
        <w:rPr>
          <w:rFonts w:ascii="Verdana" w:hAnsi="Verdana"/>
          <w:b/>
          <w:bCs/>
          <w:color w:val="FF0000"/>
          <w:sz w:val="20"/>
          <w:szCs w:val="20"/>
        </w:rPr>
        <w:t>cittadinanza</w:t>
      </w:r>
      <w:r>
        <w:rPr>
          <w:rFonts w:ascii="Verdana" w:hAnsi="Verdana"/>
          <w:sz w:val="20"/>
          <w:szCs w:val="20"/>
        </w:rPr>
        <w:t xml:space="preserve">, nessun decreto è stato, nè sarà ora, lasciato scadere: gli Uffici monitorano quotidianamente le posizioni, intervenendo anche </w:t>
      </w:r>
      <w:r w:rsidR="00D51109">
        <w:rPr>
          <w:rFonts w:ascii="Verdana" w:hAnsi="Verdana"/>
          <w:sz w:val="20"/>
          <w:szCs w:val="20"/>
        </w:rPr>
        <w:t>nel giro di</w:t>
      </w:r>
      <w:r>
        <w:rPr>
          <w:rFonts w:ascii="Verdana" w:hAnsi="Verdana"/>
          <w:sz w:val="20"/>
          <w:szCs w:val="20"/>
        </w:rPr>
        <w:t xml:space="preserve"> 24 ore</w:t>
      </w:r>
      <w:r w:rsidR="00B603D5">
        <w:rPr>
          <w:rFonts w:ascii="Verdana" w:hAnsi="Verdana"/>
          <w:sz w:val="20"/>
          <w:szCs w:val="20"/>
        </w:rPr>
        <w:t xml:space="preserve"> in salvataggio dei ritardatari</w:t>
      </w:r>
      <w:r>
        <w:rPr>
          <w:rFonts w:ascii="Verdana" w:hAnsi="Verdana"/>
          <w:sz w:val="20"/>
          <w:szCs w:val="20"/>
        </w:rPr>
        <w:t xml:space="preserve">, </w:t>
      </w:r>
      <w:r w:rsidR="00B603D5">
        <w:rPr>
          <w:rFonts w:ascii="Verdana" w:hAnsi="Verdana"/>
          <w:sz w:val="20"/>
          <w:szCs w:val="20"/>
        </w:rPr>
        <w:t xml:space="preserve">che abbiano </w:t>
      </w:r>
      <w:r>
        <w:rPr>
          <w:rFonts w:ascii="Verdana" w:hAnsi="Verdana"/>
          <w:sz w:val="20"/>
          <w:szCs w:val="20"/>
        </w:rPr>
        <w:t>dimenticato di comunicare all’Ufficio la notifica del decreto ottenuto</w:t>
      </w:r>
      <w:r w:rsidR="00B603D5">
        <w:rPr>
          <w:rFonts w:ascii="Verdana" w:hAnsi="Verdana"/>
          <w:sz w:val="20"/>
          <w:szCs w:val="20"/>
        </w:rPr>
        <w:t>.</w:t>
      </w:r>
    </w:p>
    <w:p w14:paraId="330F814C" w14:textId="77777777" w:rsidR="006A0FC5" w:rsidRDefault="006A0FC5">
      <w:pPr>
        <w:rPr>
          <w:rFonts w:ascii="Verdana" w:hAnsi="Verdana"/>
          <w:sz w:val="20"/>
          <w:szCs w:val="20"/>
        </w:rPr>
      </w:pPr>
    </w:p>
    <w:p w14:paraId="5130444E" w14:textId="1304D151" w:rsidR="006A0FC5" w:rsidRDefault="006A0FC5" w:rsidP="006A0FC5">
      <w:pPr>
        <w:jc w:val="center"/>
        <w:rPr>
          <w:rFonts w:ascii="Verdana" w:hAnsi="Verdana"/>
          <w:sz w:val="20"/>
          <w:szCs w:val="20"/>
        </w:rPr>
      </w:pPr>
      <w:r>
        <w:rPr>
          <w:rFonts w:ascii="Verdana" w:hAnsi="Verdana"/>
          <w:sz w:val="20"/>
          <w:szCs w:val="20"/>
        </w:rPr>
        <w:t>***</w:t>
      </w:r>
    </w:p>
    <w:p w14:paraId="53DAC21D" w14:textId="77777777" w:rsidR="009E64AA" w:rsidRDefault="009E64AA">
      <w:pPr>
        <w:rPr>
          <w:rFonts w:ascii="Verdana" w:hAnsi="Verdana"/>
          <w:sz w:val="20"/>
          <w:szCs w:val="20"/>
        </w:rPr>
      </w:pPr>
    </w:p>
    <w:p w14:paraId="2F6C4929" w14:textId="0B7CE820" w:rsidR="00D51109" w:rsidRDefault="00D51109">
      <w:pPr>
        <w:rPr>
          <w:rFonts w:ascii="Verdana" w:hAnsi="Verdana"/>
          <w:b/>
          <w:bCs/>
          <w:sz w:val="20"/>
          <w:szCs w:val="20"/>
        </w:rPr>
      </w:pPr>
      <w:r w:rsidRPr="00AD7651">
        <w:rPr>
          <w:rFonts w:ascii="Verdana" w:hAnsi="Verdana"/>
          <w:sz w:val="20"/>
          <w:szCs w:val="20"/>
        </w:rPr>
        <w:t xml:space="preserve">Nel 2025 il carico è stato imponente, dal momento che l’anno è iniziato con l’esame delle candidature per le </w:t>
      </w:r>
      <w:r w:rsidRPr="006A0FC5">
        <w:rPr>
          <w:rFonts w:ascii="Verdana" w:hAnsi="Verdana"/>
          <w:b/>
          <w:bCs/>
          <w:color w:val="FF0000"/>
          <w:sz w:val="20"/>
          <w:szCs w:val="20"/>
        </w:rPr>
        <w:t>elezioni comunali</w:t>
      </w:r>
      <w:r w:rsidRPr="00AD7651">
        <w:rPr>
          <w:rFonts w:ascii="Verdana" w:hAnsi="Verdana"/>
          <w:sz w:val="20"/>
          <w:szCs w:val="20"/>
        </w:rPr>
        <w:t>, che non erano solo quelle di Bolzano (</w:t>
      </w:r>
      <w:r w:rsidRPr="00AD7651">
        <w:rPr>
          <w:rFonts w:ascii="Verdana" w:hAnsi="Verdana"/>
          <w:b/>
          <w:bCs/>
          <w:sz w:val="20"/>
          <w:szCs w:val="20"/>
        </w:rPr>
        <w:t>6 candidati a Sindaco, 402 a consigliere comunale, 544 a consigliere circoscrizionale</w:t>
      </w:r>
      <w:r w:rsidRPr="00AD7651">
        <w:rPr>
          <w:rFonts w:ascii="Verdana" w:hAnsi="Verdana"/>
          <w:sz w:val="20"/>
          <w:szCs w:val="20"/>
        </w:rPr>
        <w:t xml:space="preserve">) ma anche quelle di </w:t>
      </w:r>
      <w:r w:rsidRPr="00AD7651">
        <w:rPr>
          <w:rFonts w:ascii="Verdana" w:hAnsi="Verdana"/>
          <w:b/>
          <w:bCs/>
          <w:sz w:val="20"/>
          <w:szCs w:val="20"/>
        </w:rPr>
        <w:t>2</w:t>
      </w:r>
      <w:r w:rsidR="00AD7651" w:rsidRPr="00AD7651">
        <w:rPr>
          <w:rFonts w:ascii="Verdana" w:hAnsi="Verdana"/>
          <w:b/>
          <w:bCs/>
          <w:sz w:val="20"/>
          <w:szCs w:val="20"/>
        </w:rPr>
        <w:t>7</w:t>
      </w:r>
      <w:r w:rsidRPr="00AD7651">
        <w:rPr>
          <w:rFonts w:ascii="Verdana" w:hAnsi="Verdana"/>
          <w:b/>
          <w:bCs/>
          <w:sz w:val="20"/>
          <w:szCs w:val="20"/>
        </w:rPr>
        <w:t xml:space="preserve"> Comuni del Circondario</w:t>
      </w:r>
      <w:r w:rsidRPr="00AD7651">
        <w:rPr>
          <w:rFonts w:ascii="Verdana" w:hAnsi="Verdana"/>
          <w:sz w:val="20"/>
          <w:szCs w:val="20"/>
        </w:rPr>
        <w:t>, per i quali è competente la Sottocommissione elettorale circondariale, incardinata presso i Servizi demografici</w:t>
      </w:r>
      <w:r w:rsidR="00AD7651" w:rsidRPr="00AD7651">
        <w:rPr>
          <w:rFonts w:ascii="Verdana" w:hAnsi="Verdana"/>
          <w:sz w:val="20"/>
          <w:szCs w:val="20"/>
        </w:rPr>
        <w:t xml:space="preserve">, che ha esaminato altre </w:t>
      </w:r>
      <w:r w:rsidR="00AD7651" w:rsidRPr="00AD7651">
        <w:rPr>
          <w:rFonts w:ascii="Verdana" w:hAnsi="Verdana"/>
          <w:b/>
          <w:bCs/>
          <w:sz w:val="20"/>
          <w:szCs w:val="20"/>
        </w:rPr>
        <w:t>77 liste</w:t>
      </w:r>
      <w:r w:rsidR="00103237">
        <w:rPr>
          <w:rFonts w:ascii="Verdana" w:hAnsi="Verdana"/>
          <w:b/>
          <w:bCs/>
          <w:sz w:val="20"/>
          <w:szCs w:val="20"/>
        </w:rPr>
        <w:t xml:space="preserve">, con i </w:t>
      </w:r>
      <w:r w:rsidR="00AD7651" w:rsidRPr="00AD7651">
        <w:rPr>
          <w:rFonts w:ascii="Verdana" w:hAnsi="Verdana"/>
          <w:b/>
          <w:bCs/>
          <w:sz w:val="20"/>
          <w:szCs w:val="20"/>
        </w:rPr>
        <w:t xml:space="preserve">relativi </w:t>
      </w:r>
      <w:r w:rsidR="00103237">
        <w:rPr>
          <w:rFonts w:ascii="Verdana" w:hAnsi="Verdana"/>
          <w:b/>
          <w:bCs/>
          <w:sz w:val="20"/>
          <w:szCs w:val="20"/>
        </w:rPr>
        <w:t xml:space="preserve">870 </w:t>
      </w:r>
      <w:r w:rsidR="00AD7651" w:rsidRPr="00AD7651">
        <w:rPr>
          <w:rFonts w:ascii="Verdana" w:hAnsi="Verdana"/>
          <w:b/>
          <w:bCs/>
          <w:sz w:val="20"/>
          <w:szCs w:val="20"/>
        </w:rPr>
        <w:t>candidati</w:t>
      </w:r>
      <w:r w:rsidR="00103237">
        <w:rPr>
          <w:rFonts w:ascii="Verdana" w:hAnsi="Verdana"/>
          <w:b/>
          <w:bCs/>
          <w:sz w:val="20"/>
          <w:szCs w:val="20"/>
        </w:rPr>
        <w:t>.</w:t>
      </w:r>
    </w:p>
    <w:p w14:paraId="5BE0692A" w14:textId="4F0E6D7C" w:rsidR="003703BE" w:rsidRDefault="003703BE">
      <w:pPr>
        <w:rPr>
          <w:rFonts w:ascii="Verdana" w:hAnsi="Verdana"/>
          <w:b/>
          <w:bCs/>
          <w:sz w:val="20"/>
          <w:szCs w:val="20"/>
        </w:rPr>
      </w:pPr>
      <w:r>
        <w:rPr>
          <w:rFonts w:ascii="Verdana" w:hAnsi="Verdana"/>
          <w:sz w:val="20"/>
          <w:szCs w:val="20"/>
        </w:rPr>
        <w:t>Solo q</w:t>
      </w:r>
      <w:r w:rsidRPr="003703BE">
        <w:rPr>
          <w:rFonts w:ascii="Verdana" w:hAnsi="Verdana"/>
          <w:sz w:val="20"/>
          <w:szCs w:val="20"/>
        </w:rPr>
        <w:t>uest’attività ha co</w:t>
      </w:r>
      <w:r>
        <w:rPr>
          <w:rFonts w:ascii="Verdana" w:hAnsi="Verdana"/>
          <w:sz w:val="20"/>
          <w:szCs w:val="20"/>
        </w:rPr>
        <w:t>m</w:t>
      </w:r>
      <w:r w:rsidRPr="003703BE">
        <w:rPr>
          <w:rFonts w:ascii="Verdana" w:hAnsi="Verdana"/>
          <w:sz w:val="20"/>
          <w:szCs w:val="20"/>
        </w:rPr>
        <w:t xml:space="preserve">portato la prestazione di </w:t>
      </w:r>
      <w:r>
        <w:rPr>
          <w:rFonts w:ascii="Verdana" w:hAnsi="Verdana"/>
          <w:b/>
          <w:bCs/>
          <w:sz w:val="20"/>
          <w:szCs w:val="20"/>
        </w:rPr>
        <w:t>complessive 636 ore di lavoro straordinario</w:t>
      </w:r>
      <w:r w:rsidRPr="003703BE">
        <w:rPr>
          <w:rFonts w:ascii="Verdana" w:hAnsi="Verdana"/>
          <w:sz w:val="20"/>
          <w:szCs w:val="20"/>
        </w:rPr>
        <w:t>, e le elezioni e il referendum dovevano ancora iniziare</w:t>
      </w:r>
      <w:r>
        <w:rPr>
          <w:rFonts w:ascii="Verdana" w:hAnsi="Verdana"/>
          <w:sz w:val="20"/>
          <w:szCs w:val="20"/>
        </w:rPr>
        <w:t>.</w:t>
      </w:r>
    </w:p>
    <w:p w14:paraId="607D0123" w14:textId="77777777" w:rsidR="00103237" w:rsidRDefault="00103237">
      <w:pPr>
        <w:rPr>
          <w:rFonts w:ascii="Verdana" w:hAnsi="Verdana"/>
          <w:b/>
          <w:bCs/>
          <w:sz w:val="20"/>
          <w:szCs w:val="20"/>
        </w:rPr>
      </w:pPr>
    </w:p>
    <w:p w14:paraId="53F2A1DA" w14:textId="1450E6C8" w:rsidR="00D51109" w:rsidRDefault="006A0FC5" w:rsidP="006A0FC5">
      <w:pPr>
        <w:jc w:val="center"/>
        <w:rPr>
          <w:rFonts w:ascii="Verdana" w:hAnsi="Verdana"/>
          <w:sz w:val="20"/>
          <w:szCs w:val="20"/>
        </w:rPr>
      </w:pPr>
      <w:r>
        <w:rPr>
          <w:rFonts w:ascii="Verdana" w:hAnsi="Verdana"/>
          <w:sz w:val="20"/>
          <w:szCs w:val="20"/>
        </w:rPr>
        <w:t>***</w:t>
      </w:r>
    </w:p>
    <w:p w14:paraId="791B044A" w14:textId="77777777" w:rsidR="006A0FC5" w:rsidRPr="00AD7651" w:rsidRDefault="006A0FC5">
      <w:pPr>
        <w:rPr>
          <w:rFonts w:ascii="Verdana" w:hAnsi="Verdana"/>
          <w:sz w:val="20"/>
          <w:szCs w:val="20"/>
        </w:rPr>
      </w:pPr>
    </w:p>
    <w:p w14:paraId="4CD847CC" w14:textId="58209A1F" w:rsidR="00B603D5" w:rsidRPr="00AD7651" w:rsidRDefault="00B603D5">
      <w:pPr>
        <w:rPr>
          <w:rFonts w:ascii="Verdana" w:hAnsi="Verdana"/>
          <w:sz w:val="20"/>
          <w:szCs w:val="20"/>
        </w:rPr>
      </w:pPr>
      <w:r w:rsidRPr="00AD7651">
        <w:rPr>
          <w:rFonts w:ascii="Verdana" w:hAnsi="Verdana"/>
          <w:sz w:val="20"/>
          <w:szCs w:val="20"/>
        </w:rPr>
        <w:t xml:space="preserve">Per </w:t>
      </w:r>
      <w:r w:rsidR="003703BE">
        <w:rPr>
          <w:rFonts w:ascii="Verdana" w:hAnsi="Verdana"/>
          <w:sz w:val="20"/>
          <w:szCs w:val="20"/>
        </w:rPr>
        <w:t>l</w:t>
      </w:r>
      <w:r w:rsidRPr="00AD7651">
        <w:rPr>
          <w:rFonts w:ascii="Verdana" w:hAnsi="Verdana"/>
          <w:sz w:val="20"/>
          <w:szCs w:val="20"/>
        </w:rPr>
        <w:t xml:space="preserve">e attività elettorali – non differibili e non derogabili - è stata applicata buona parte del personale delle </w:t>
      </w:r>
      <w:r w:rsidRPr="006A0FC5">
        <w:rPr>
          <w:rFonts w:ascii="Verdana" w:hAnsi="Verdana"/>
          <w:b/>
          <w:bCs/>
          <w:color w:val="FF0000"/>
          <w:sz w:val="20"/>
          <w:szCs w:val="20"/>
        </w:rPr>
        <w:t>residenze</w:t>
      </w:r>
      <w:r w:rsidRPr="00AD7651">
        <w:rPr>
          <w:rFonts w:ascii="Verdana" w:hAnsi="Verdana"/>
          <w:sz w:val="20"/>
          <w:szCs w:val="20"/>
        </w:rPr>
        <w:t>, il che ha provocato il progressivo accumulo di arretrato che dalla seconda metà di agosto stiamo affrontando con strumenti eccezionali che hanno già manifestato la propria efficacia.</w:t>
      </w:r>
    </w:p>
    <w:p w14:paraId="6B332042" w14:textId="77777777" w:rsidR="00B603D5" w:rsidRPr="00AD7651" w:rsidRDefault="00B603D5">
      <w:pPr>
        <w:rPr>
          <w:rFonts w:ascii="Verdana" w:hAnsi="Verdana"/>
          <w:sz w:val="20"/>
          <w:szCs w:val="20"/>
        </w:rPr>
      </w:pPr>
    </w:p>
    <w:p w14:paraId="2D335199" w14:textId="77777777" w:rsidR="00B603D5" w:rsidRPr="00AD7651" w:rsidRDefault="00B603D5">
      <w:pPr>
        <w:rPr>
          <w:rFonts w:ascii="Verdana" w:hAnsi="Verdana"/>
          <w:sz w:val="20"/>
          <w:szCs w:val="20"/>
        </w:rPr>
      </w:pPr>
      <w:r w:rsidRPr="00AD7651">
        <w:rPr>
          <w:rFonts w:ascii="Verdana" w:hAnsi="Verdana"/>
          <w:sz w:val="20"/>
          <w:szCs w:val="20"/>
        </w:rPr>
        <w:lastRenderedPageBreak/>
        <w:t xml:space="preserve">Infatti, in due settimane l’arretrato è stato </w:t>
      </w:r>
      <w:r w:rsidRPr="00AD7651">
        <w:rPr>
          <w:rFonts w:ascii="Verdana" w:hAnsi="Verdana"/>
          <w:b/>
          <w:bCs/>
          <w:sz w:val="20"/>
          <w:szCs w:val="20"/>
        </w:rPr>
        <w:t>ridotto da 110 a 96 giorni</w:t>
      </w:r>
      <w:r w:rsidRPr="00AD7651">
        <w:rPr>
          <w:rFonts w:ascii="Verdana" w:hAnsi="Verdana"/>
          <w:sz w:val="20"/>
          <w:szCs w:val="20"/>
        </w:rPr>
        <w:t>.</w:t>
      </w:r>
    </w:p>
    <w:p w14:paraId="67F1CB13" w14:textId="44449F94" w:rsidR="00D51109" w:rsidRPr="00AD7651" w:rsidRDefault="00B603D5">
      <w:pPr>
        <w:rPr>
          <w:rFonts w:ascii="Verdana" w:hAnsi="Verdana"/>
          <w:b/>
          <w:bCs/>
          <w:sz w:val="20"/>
          <w:szCs w:val="20"/>
        </w:rPr>
      </w:pPr>
      <w:r w:rsidRPr="00AD7651">
        <w:rPr>
          <w:rFonts w:ascii="Verdana" w:hAnsi="Verdana"/>
          <w:sz w:val="20"/>
          <w:szCs w:val="20"/>
        </w:rPr>
        <w:t>Con la task force messa in campo si prevede</w:t>
      </w:r>
      <w:r w:rsidR="00AD7651">
        <w:rPr>
          <w:rFonts w:ascii="Verdana" w:hAnsi="Verdana"/>
          <w:sz w:val="20"/>
          <w:szCs w:val="20"/>
        </w:rPr>
        <w:t xml:space="preserve"> e promette</w:t>
      </w:r>
      <w:r w:rsidRPr="00AD7651">
        <w:rPr>
          <w:rFonts w:ascii="Verdana" w:hAnsi="Verdana"/>
          <w:sz w:val="20"/>
          <w:szCs w:val="20"/>
        </w:rPr>
        <w:t xml:space="preserve"> </w:t>
      </w:r>
      <w:r w:rsidRPr="00AD7651">
        <w:rPr>
          <w:rFonts w:ascii="Verdana" w:hAnsi="Verdana"/>
          <w:b/>
          <w:bCs/>
          <w:sz w:val="20"/>
          <w:szCs w:val="20"/>
        </w:rPr>
        <w:t xml:space="preserve">il recupero di ulteriori </w:t>
      </w:r>
      <w:r w:rsidR="00437EB3" w:rsidRPr="00AD7651">
        <w:rPr>
          <w:rFonts w:ascii="Verdana" w:hAnsi="Verdana"/>
          <w:b/>
          <w:bCs/>
          <w:sz w:val="20"/>
          <w:szCs w:val="20"/>
        </w:rPr>
        <w:t>6</w:t>
      </w:r>
      <w:r w:rsidRPr="00AD7651">
        <w:rPr>
          <w:rFonts w:ascii="Verdana" w:hAnsi="Verdana"/>
          <w:b/>
          <w:bCs/>
          <w:sz w:val="20"/>
          <w:szCs w:val="20"/>
        </w:rPr>
        <w:t xml:space="preserve"> settimane di arretrato entro il mese di settembre (</w:t>
      </w:r>
      <w:r w:rsidR="00437EB3" w:rsidRPr="00AD7651">
        <w:rPr>
          <w:rFonts w:ascii="Verdana" w:hAnsi="Verdana"/>
          <w:b/>
          <w:bCs/>
          <w:sz w:val="20"/>
          <w:szCs w:val="20"/>
        </w:rPr>
        <w:t>a fine settembre si tratteranno le pratiche ricevute il</w:t>
      </w:r>
      <w:r w:rsidRPr="00AD7651">
        <w:rPr>
          <w:rFonts w:ascii="Verdana" w:hAnsi="Verdana"/>
          <w:b/>
          <w:bCs/>
          <w:sz w:val="20"/>
          <w:szCs w:val="20"/>
        </w:rPr>
        <w:t xml:space="preserve"> 15 luglio).</w:t>
      </w:r>
    </w:p>
    <w:p w14:paraId="68CFB437" w14:textId="77777777" w:rsidR="00437EB3" w:rsidRPr="00AD7651" w:rsidRDefault="00437EB3">
      <w:pPr>
        <w:rPr>
          <w:rFonts w:ascii="Verdana" w:hAnsi="Verdana"/>
          <w:sz w:val="20"/>
          <w:szCs w:val="20"/>
        </w:rPr>
      </w:pPr>
    </w:p>
    <w:p w14:paraId="4571A6CF" w14:textId="5A533709" w:rsidR="00437EB3" w:rsidRDefault="00437EB3">
      <w:pPr>
        <w:rPr>
          <w:rFonts w:ascii="Verdana" w:hAnsi="Verdana"/>
          <w:sz w:val="20"/>
          <w:szCs w:val="20"/>
        </w:rPr>
      </w:pPr>
      <w:r w:rsidRPr="00AD7651">
        <w:rPr>
          <w:rFonts w:ascii="Verdana" w:hAnsi="Verdana"/>
          <w:sz w:val="20"/>
          <w:szCs w:val="20"/>
        </w:rPr>
        <w:t xml:space="preserve">In merito non si può non evidenziare che </w:t>
      </w:r>
      <w:r w:rsidRPr="00AD7651">
        <w:rPr>
          <w:rFonts w:ascii="Verdana" w:hAnsi="Verdana"/>
          <w:b/>
          <w:bCs/>
          <w:sz w:val="20"/>
          <w:szCs w:val="20"/>
        </w:rPr>
        <w:t>nel 2025</w:t>
      </w:r>
      <w:r w:rsidRPr="00AD7651">
        <w:rPr>
          <w:rFonts w:ascii="Verdana" w:hAnsi="Verdana"/>
          <w:sz w:val="20"/>
          <w:szCs w:val="20"/>
        </w:rPr>
        <w:t xml:space="preserve"> le pratiche di residenza ricevute si sono immediatamente</w:t>
      </w:r>
      <w:r w:rsidR="00AD7651" w:rsidRPr="00AD7651">
        <w:rPr>
          <w:rFonts w:ascii="Verdana" w:hAnsi="Verdana"/>
          <w:sz w:val="20"/>
          <w:szCs w:val="20"/>
        </w:rPr>
        <w:t xml:space="preserve"> rivelate in </w:t>
      </w:r>
      <w:r w:rsidR="00AD7651" w:rsidRPr="00AD7651">
        <w:rPr>
          <w:rFonts w:ascii="Verdana" w:hAnsi="Verdana"/>
          <w:b/>
          <w:bCs/>
          <w:sz w:val="20"/>
          <w:szCs w:val="20"/>
        </w:rPr>
        <w:t>aumento del 14% rispetto al 2024</w:t>
      </w:r>
      <w:r w:rsidR="00AD7651" w:rsidRPr="00AD7651">
        <w:rPr>
          <w:rFonts w:ascii="Verdana" w:hAnsi="Verdana"/>
          <w:sz w:val="20"/>
          <w:szCs w:val="20"/>
        </w:rPr>
        <w:t>. Basti pensare che solo nel mese di luglio ne sono state protocollate oltre 500, ognuna delle quali contiene più persone e la più varia documentazione da esaminare, per tacere dell’impossibilità di ricostruire gli interni di molti edifici, soprattutto nel centro storico.</w:t>
      </w:r>
    </w:p>
    <w:p w14:paraId="742C7136" w14:textId="77777777" w:rsidR="006A0FC5" w:rsidRDefault="006A0FC5">
      <w:pPr>
        <w:rPr>
          <w:rFonts w:ascii="Verdana" w:hAnsi="Verdana"/>
          <w:sz w:val="20"/>
          <w:szCs w:val="20"/>
        </w:rPr>
      </w:pPr>
    </w:p>
    <w:p w14:paraId="694C358D" w14:textId="5CAC20A3" w:rsidR="006A0FC5" w:rsidRPr="00AD7651" w:rsidRDefault="006A0FC5" w:rsidP="006A0FC5">
      <w:pPr>
        <w:jc w:val="center"/>
        <w:rPr>
          <w:rFonts w:ascii="Verdana" w:hAnsi="Verdana"/>
          <w:sz w:val="20"/>
          <w:szCs w:val="20"/>
        </w:rPr>
      </w:pPr>
      <w:r>
        <w:rPr>
          <w:rFonts w:ascii="Verdana" w:hAnsi="Verdana"/>
          <w:sz w:val="20"/>
          <w:szCs w:val="20"/>
        </w:rPr>
        <w:t>***</w:t>
      </w:r>
    </w:p>
    <w:p w14:paraId="6F609278" w14:textId="77777777" w:rsidR="00AD7651" w:rsidRDefault="00AD7651">
      <w:pPr>
        <w:rPr>
          <w:rFonts w:ascii="Verdana" w:hAnsi="Verdana"/>
          <w:sz w:val="20"/>
          <w:szCs w:val="20"/>
        </w:rPr>
      </w:pPr>
    </w:p>
    <w:p w14:paraId="1075D39A" w14:textId="4E9B4101" w:rsidR="00AD7651" w:rsidRDefault="006A0FC5" w:rsidP="00103237">
      <w:pPr>
        <w:jc w:val="both"/>
        <w:rPr>
          <w:rFonts w:ascii="Verdana" w:hAnsi="Verdana"/>
          <w:sz w:val="20"/>
          <w:szCs w:val="20"/>
        </w:rPr>
      </w:pPr>
      <w:r w:rsidRPr="006A0FC5">
        <w:rPr>
          <w:rFonts w:ascii="Verdana" w:hAnsi="Verdana"/>
          <w:b/>
          <w:bCs/>
          <w:color w:val="FF0000"/>
          <w:sz w:val="20"/>
          <w:szCs w:val="20"/>
        </w:rPr>
        <w:t>In generale</w:t>
      </w:r>
      <w:r>
        <w:rPr>
          <w:rFonts w:ascii="Verdana" w:hAnsi="Verdana"/>
          <w:b/>
          <w:bCs/>
          <w:sz w:val="20"/>
          <w:szCs w:val="20"/>
        </w:rPr>
        <w:t xml:space="preserve">, </w:t>
      </w:r>
      <w:r w:rsidR="00103237" w:rsidRPr="003703BE">
        <w:rPr>
          <w:rFonts w:ascii="Verdana" w:hAnsi="Verdana"/>
          <w:b/>
          <w:bCs/>
          <w:sz w:val="20"/>
          <w:szCs w:val="20"/>
        </w:rPr>
        <w:t>60 persone</w:t>
      </w:r>
      <w:r w:rsidR="00103237">
        <w:rPr>
          <w:rFonts w:ascii="Verdana" w:hAnsi="Verdana"/>
          <w:sz w:val="20"/>
          <w:szCs w:val="20"/>
        </w:rPr>
        <w:t xml:space="preserve"> lavorano all’interno dei Servizi demografici </w:t>
      </w:r>
      <w:r w:rsidR="00103237" w:rsidRPr="003703BE">
        <w:rPr>
          <w:rFonts w:ascii="Verdana" w:hAnsi="Verdana"/>
          <w:b/>
          <w:bCs/>
          <w:sz w:val="20"/>
          <w:szCs w:val="20"/>
        </w:rPr>
        <w:t>per garantire 104 differenti procedimenti</w:t>
      </w:r>
      <w:r w:rsidR="00103237">
        <w:rPr>
          <w:rFonts w:ascii="Verdana" w:hAnsi="Verdana"/>
          <w:sz w:val="20"/>
          <w:szCs w:val="20"/>
        </w:rPr>
        <w:t xml:space="preserve"> amministrativi, erogati in </w:t>
      </w:r>
      <w:r w:rsidR="00103237" w:rsidRPr="003703BE">
        <w:rPr>
          <w:rFonts w:ascii="Verdana" w:hAnsi="Verdana"/>
          <w:b/>
          <w:bCs/>
          <w:sz w:val="20"/>
          <w:szCs w:val="20"/>
        </w:rPr>
        <w:t>3 diverse sedi</w:t>
      </w:r>
      <w:r w:rsidR="00103237">
        <w:rPr>
          <w:rFonts w:ascii="Verdana" w:hAnsi="Verdana"/>
          <w:sz w:val="20"/>
          <w:szCs w:val="20"/>
        </w:rPr>
        <w:t>, con i seguenti v</w:t>
      </w:r>
      <w:r w:rsidR="00191B2E">
        <w:rPr>
          <w:rFonts w:ascii="Verdana" w:hAnsi="Verdana"/>
          <w:sz w:val="20"/>
          <w:szCs w:val="20"/>
        </w:rPr>
        <w:t>olumi di attività</w:t>
      </w:r>
      <w:r w:rsidR="003703BE">
        <w:rPr>
          <w:rFonts w:ascii="Verdana" w:hAnsi="Verdana"/>
          <w:sz w:val="20"/>
          <w:szCs w:val="20"/>
        </w:rPr>
        <w:t xml:space="preserve"> esemplificativi</w:t>
      </w:r>
      <w:r w:rsidR="00103237">
        <w:rPr>
          <w:rFonts w:ascii="Verdana" w:hAnsi="Verdana"/>
          <w:sz w:val="20"/>
          <w:szCs w:val="20"/>
        </w:rPr>
        <w:t xml:space="preserve"> negli </w:t>
      </w:r>
      <w:r w:rsidR="00191B2E">
        <w:rPr>
          <w:rFonts w:ascii="Verdana" w:hAnsi="Verdana"/>
          <w:sz w:val="20"/>
          <w:szCs w:val="20"/>
        </w:rPr>
        <w:t>ultimi 4 anni:</w:t>
      </w:r>
    </w:p>
    <w:p w14:paraId="62D3F384" w14:textId="77777777" w:rsidR="00AD7651" w:rsidRDefault="00AD7651">
      <w:pPr>
        <w:rPr>
          <w:rFonts w:ascii="Verdana" w:hAnsi="Verdana"/>
          <w:sz w:val="20"/>
          <w:szCs w:val="20"/>
        </w:rPr>
      </w:pPr>
    </w:p>
    <w:p w14:paraId="42FBE029" w14:textId="77777777" w:rsidR="00437EB3" w:rsidRDefault="00437EB3">
      <w:pPr>
        <w:rPr>
          <w:rFonts w:ascii="Verdana" w:hAnsi="Verdana"/>
          <w:sz w:val="20"/>
          <w:szCs w:val="20"/>
        </w:rPr>
      </w:pPr>
    </w:p>
    <w:tbl>
      <w:tblPr>
        <w:tblW w:w="7508" w:type="dxa"/>
        <w:tblInd w:w="5" w:type="dxa"/>
        <w:shd w:val="clear" w:color="auto" w:fill="FFFFFF"/>
        <w:tblCellMar>
          <w:left w:w="0" w:type="dxa"/>
          <w:right w:w="0" w:type="dxa"/>
        </w:tblCellMar>
        <w:tblLook w:val="04A0" w:firstRow="1" w:lastRow="0" w:firstColumn="1" w:lastColumn="0" w:noHBand="0" w:noVBand="1"/>
      </w:tblPr>
      <w:tblGrid>
        <w:gridCol w:w="2120"/>
        <w:gridCol w:w="1419"/>
        <w:gridCol w:w="1418"/>
        <w:gridCol w:w="1275"/>
        <w:gridCol w:w="1276"/>
      </w:tblGrid>
      <w:tr w:rsidR="00AD7651" w:rsidRPr="00437EB3" w14:paraId="30528B78" w14:textId="054CC775" w:rsidTr="00AD7651">
        <w:trPr>
          <w:trHeight w:val="375"/>
        </w:trPr>
        <w:tc>
          <w:tcPr>
            <w:tcW w:w="2120" w:type="dxa"/>
            <w:tcBorders>
              <w:top w:val="single" w:sz="4" w:space="0" w:color="808080"/>
              <w:bottom w:val="single" w:sz="4" w:space="0" w:color="808080"/>
              <w:right w:val="single" w:sz="4" w:space="0" w:color="808080"/>
            </w:tcBorders>
            <w:shd w:val="clear" w:color="auto" w:fill="000080"/>
            <w:tcMar>
              <w:top w:w="15" w:type="dxa"/>
              <w:left w:w="15" w:type="dxa"/>
              <w:bottom w:w="0" w:type="dxa"/>
              <w:right w:w="15" w:type="dxa"/>
            </w:tcMar>
            <w:hideMark/>
          </w:tcPr>
          <w:p w14:paraId="38C2A4EA" w14:textId="627AD7BA" w:rsidR="00AD7651" w:rsidRPr="00437EB3" w:rsidRDefault="00AD7651" w:rsidP="00437EB3">
            <w:pPr>
              <w:rPr>
                <w:rFonts w:ascii="Verdana" w:hAnsi="Verdana"/>
                <w:sz w:val="20"/>
                <w:szCs w:val="20"/>
              </w:rPr>
            </w:pPr>
          </w:p>
        </w:tc>
        <w:tc>
          <w:tcPr>
            <w:tcW w:w="1419" w:type="dxa"/>
            <w:tcBorders>
              <w:top w:val="single" w:sz="4" w:space="0" w:color="808080"/>
              <w:bottom w:val="single" w:sz="4" w:space="0" w:color="808080"/>
              <w:right w:val="single" w:sz="4" w:space="0" w:color="808080"/>
            </w:tcBorders>
            <w:shd w:val="clear" w:color="auto" w:fill="000080"/>
            <w:tcMar>
              <w:top w:w="15" w:type="dxa"/>
              <w:left w:w="15" w:type="dxa"/>
              <w:bottom w:w="0" w:type="dxa"/>
              <w:right w:w="15" w:type="dxa"/>
            </w:tcMar>
            <w:hideMark/>
          </w:tcPr>
          <w:p w14:paraId="3882D924" w14:textId="77777777" w:rsidR="00AD7651" w:rsidRPr="00437EB3" w:rsidRDefault="00AD7651" w:rsidP="00437EB3">
            <w:pPr>
              <w:rPr>
                <w:rFonts w:ascii="Verdana" w:hAnsi="Verdana"/>
                <w:sz w:val="20"/>
                <w:szCs w:val="20"/>
              </w:rPr>
            </w:pPr>
            <w:r w:rsidRPr="00437EB3">
              <w:rPr>
                <w:rFonts w:ascii="Verdana" w:hAnsi="Verdana"/>
                <w:b/>
                <w:bCs/>
                <w:sz w:val="20"/>
                <w:szCs w:val="20"/>
              </w:rPr>
              <w:t>2021</w:t>
            </w:r>
          </w:p>
        </w:tc>
        <w:tc>
          <w:tcPr>
            <w:tcW w:w="1418" w:type="dxa"/>
            <w:tcBorders>
              <w:top w:val="single" w:sz="4" w:space="0" w:color="808080"/>
              <w:bottom w:val="single" w:sz="4" w:space="0" w:color="808080"/>
              <w:right w:val="single" w:sz="4" w:space="0" w:color="808080"/>
            </w:tcBorders>
            <w:shd w:val="clear" w:color="auto" w:fill="000080"/>
            <w:tcMar>
              <w:top w:w="15" w:type="dxa"/>
              <w:left w:w="15" w:type="dxa"/>
              <w:bottom w:w="0" w:type="dxa"/>
              <w:right w:w="15" w:type="dxa"/>
            </w:tcMar>
            <w:hideMark/>
          </w:tcPr>
          <w:p w14:paraId="0ED11B6A" w14:textId="77777777" w:rsidR="00AD7651" w:rsidRPr="00437EB3" w:rsidRDefault="00AD7651" w:rsidP="00437EB3">
            <w:pPr>
              <w:rPr>
                <w:rFonts w:ascii="Verdana" w:hAnsi="Verdana"/>
                <w:sz w:val="20"/>
                <w:szCs w:val="20"/>
              </w:rPr>
            </w:pPr>
            <w:r w:rsidRPr="00437EB3">
              <w:rPr>
                <w:rFonts w:ascii="Verdana" w:hAnsi="Verdana"/>
                <w:b/>
                <w:bCs/>
                <w:sz w:val="20"/>
                <w:szCs w:val="20"/>
              </w:rPr>
              <w:t>2022</w:t>
            </w:r>
          </w:p>
        </w:tc>
        <w:tc>
          <w:tcPr>
            <w:tcW w:w="1275" w:type="dxa"/>
            <w:tcBorders>
              <w:top w:val="single" w:sz="4" w:space="0" w:color="808080"/>
              <w:bottom w:val="single" w:sz="4" w:space="0" w:color="808080"/>
              <w:right w:val="single" w:sz="4" w:space="0" w:color="808080"/>
            </w:tcBorders>
            <w:shd w:val="clear" w:color="auto" w:fill="000080"/>
            <w:tcMar>
              <w:top w:w="15" w:type="dxa"/>
              <w:left w:w="15" w:type="dxa"/>
              <w:bottom w:w="0" w:type="dxa"/>
              <w:right w:w="15" w:type="dxa"/>
            </w:tcMar>
            <w:hideMark/>
          </w:tcPr>
          <w:p w14:paraId="0715631D" w14:textId="77777777" w:rsidR="00AD7651" w:rsidRPr="00437EB3" w:rsidRDefault="00AD7651" w:rsidP="00437EB3">
            <w:pPr>
              <w:rPr>
                <w:rFonts w:ascii="Verdana" w:hAnsi="Verdana"/>
                <w:sz w:val="20"/>
                <w:szCs w:val="20"/>
              </w:rPr>
            </w:pPr>
            <w:r w:rsidRPr="00437EB3">
              <w:rPr>
                <w:rFonts w:ascii="Verdana" w:hAnsi="Verdana"/>
                <w:b/>
                <w:bCs/>
                <w:sz w:val="20"/>
                <w:szCs w:val="20"/>
              </w:rPr>
              <w:t>2023</w:t>
            </w:r>
          </w:p>
        </w:tc>
        <w:tc>
          <w:tcPr>
            <w:tcW w:w="1276" w:type="dxa"/>
            <w:tcBorders>
              <w:top w:val="single" w:sz="4" w:space="0" w:color="808080"/>
              <w:bottom w:val="single" w:sz="4" w:space="0" w:color="808080"/>
              <w:right w:val="single" w:sz="4" w:space="0" w:color="808080"/>
            </w:tcBorders>
            <w:shd w:val="clear" w:color="auto" w:fill="000080"/>
            <w:tcMar>
              <w:top w:w="15" w:type="dxa"/>
              <w:left w:w="15" w:type="dxa"/>
              <w:bottom w:w="0" w:type="dxa"/>
              <w:right w:w="15" w:type="dxa"/>
            </w:tcMar>
            <w:hideMark/>
          </w:tcPr>
          <w:p w14:paraId="5A880C73" w14:textId="77777777" w:rsidR="00AD7651" w:rsidRPr="00437EB3" w:rsidRDefault="00AD7651" w:rsidP="00437EB3">
            <w:pPr>
              <w:rPr>
                <w:rFonts w:ascii="Verdana" w:hAnsi="Verdana"/>
                <w:sz w:val="20"/>
                <w:szCs w:val="20"/>
              </w:rPr>
            </w:pPr>
            <w:r w:rsidRPr="00437EB3">
              <w:rPr>
                <w:rFonts w:ascii="Verdana" w:hAnsi="Verdana"/>
                <w:b/>
                <w:bCs/>
                <w:sz w:val="20"/>
                <w:szCs w:val="20"/>
              </w:rPr>
              <w:t>2024</w:t>
            </w:r>
          </w:p>
        </w:tc>
      </w:tr>
      <w:tr w:rsidR="00AD7651" w:rsidRPr="00437EB3" w14:paraId="5A9A7531" w14:textId="44FA87A5" w:rsidTr="00AD7651">
        <w:trPr>
          <w:trHeight w:val="375"/>
        </w:trPr>
        <w:tc>
          <w:tcPr>
            <w:tcW w:w="2120" w:type="dxa"/>
            <w:tcBorders>
              <w:bottom w:val="single" w:sz="4" w:space="0" w:color="808080"/>
              <w:right w:val="single" w:sz="4" w:space="0" w:color="808080"/>
            </w:tcBorders>
            <w:shd w:val="clear" w:color="auto" w:fill="FFFFFF"/>
            <w:tcMar>
              <w:top w:w="15" w:type="dxa"/>
              <w:left w:w="15" w:type="dxa"/>
              <w:bottom w:w="0" w:type="dxa"/>
              <w:right w:w="15" w:type="dxa"/>
            </w:tcMar>
            <w:hideMark/>
          </w:tcPr>
          <w:p w14:paraId="1C381C36" w14:textId="3A4305DA" w:rsidR="00AD7651" w:rsidRPr="00437EB3" w:rsidRDefault="00AD7651" w:rsidP="00437EB3">
            <w:pPr>
              <w:rPr>
                <w:rFonts w:ascii="Verdana" w:hAnsi="Verdana"/>
                <w:sz w:val="20"/>
                <w:szCs w:val="20"/>
              </w:rPr>
            </w:pPr>
            <w:r w:rsidRPr="00437EB3">
              <w:rPr>
                <w:rFonts w:ascii="Verdana" w:hAnsi="Verdana"/>
                <w:sz w:val="20"/>
                <w:szCs w:val="20"/>
              </w:rPr>
              <w:t>iscrizioni e mutazioni anagrafiche </w:t>
            </w:r>
          </w:p>
        </w:tc>
        <w:tc>
          <w:tcPr>
            <w:tcW w:w="1419" w:type="dxa"/>
            <w:tcBorders>
              <w:bottom w:val="single" w:sz="4" w:space="0" w:color="808080"/>
              <w:right w:val="single" w:sz="4" w:space="0" w:color="808080"/>
            </w:tcBorders>
            <w:shd w:val="clear" w:color="auto" w:fill="FFFFFF"/>
            <w:tcMar>
              <w:top w:w="15" w:type="dxa"/>
              <w:left w:w="15" w:type="dxa"/>
              <w:bottom w:w="0" w:type="dxa"/>
              <w:right w:w="15" w:type="dxa"/>
            </w:tcMar>
            <w:hideMark/>
          </w:tcPr>
          <w:p w14:paraId="00DBE0FF" w14:textId="552323C3" w:rsidR="00AD7651" w:rsidRPr="00437EB3" w:rsidRDefault="00AD7651" w:rsidP="00437EB3">
            <w:pPr>
              <w:rPr>
                <w:rFonts w:ascii="Verdana" w:hAnsi="Verdana"/>
                <w:sz w:val="20"/>
                <w:szCs w:val="20"/>
              </w:rPr>
            </w:pPr>
            <w:r w:rsidRPr="00437EB3">
              <w:rPr>
                <w:rFonts w:ascii="Verdana" w:hAnsi="Verdana"/>
                <w:sz w:val="20"/>
                <w:szCs w:val="20"/>
              </w:rPr>
              <w:t>4.398</w:t>
            </w:r>
          </w:p>
        </w:tc>
        <w:tc>
          <w:tcPr>
            <w:tcW w:w="1418" w:type="dxa"/>
            <w:tcBorders>
              <w:bottom w:val="single" w:sz="4" w:space="0" w:color="808080"/>
              <w:right w:val="single" w:sz="4" w:space="0" w:color="808080"/>
            </w:tcBorders>
            <w:shd w:val="clear" w:color="auto" w:fill="FFFFFF"/>
            <w:tcMar>
              <w:top w:w="15" w:type="dxa"/>
              <w:left w:w="15" w:type="dxa"/>
              <w:bottom w:w="0" w:type="dxa"/>
              <w:right w:w="15" w:type="dxa"/>
            </w:tcMar>
            <w:hideMark/>
          </w:tcPr>
          <w:p w14:paraId="0E535701" w14:textId="1F5500B4" w:rsidR="00AD7651" w:rsidRPr="00437EB3" w:rsidRDefault="00AD7651" w:rsidP="00437EB3">
            <w:pPr>
              <w:rPr>
                <w:rFonts w:ascii="Verdana" w:hAnsi="Verdana"/>
                <w:sz w:val="20"/>
                <w:szCs w:val="20"/>
              </w:rPr>
            </w:pPr>
            <w:r w:rsidRPr="00437EB3">
              <w:rPr>
                <w:rFonts w:ascii="Verdana" w:hAnsi="Verdana"/>
                <w:sz w:val="20"/>
                <w:szCs w:val="20"/>
              </w:rPr>
              <w:t>4.753</w:t>
            </w:r>
          </w:p>
        </w:tc>
        <w:tc>
          <w:tcPr>
            <w:tcW w:w="1275" w:type="dxa"/>
            <w:tcBorders>
              <w:bottom w:val="single" w:sz="4" w:space="0" w:color="808080"/>
              <w:right w:val="single" w:sz="4" w:space="0" w:color="808080"/>
            </w:tcBorders>
            <w:shd w:val="clear" w:color="auto" w:fill="FFFFFF"/>
            <w:tcMar>
              <w:top w:w="15" w:type="dxa"/>
              <w:left w:w="15" w:type="dxa"/>
              <w:bottom w:w="0" w:type="dxa"/>
              <w:right w:w="15" w:type="dxa"/>
            </w:tcMar>
            <w:hideMark/>
          </w:tcPr>
          <w:p w14:paraId="2E3D75F7" w14:textId="38F05A65" w:rsidR="00AD7651" w:rsidRPr="00437EB3" w:rsidRDefault="00AD7651" w:rsidP="00437EB3">
            <w:pPr>
              <w:rPr>
                <w:rFonts w:ascii="Verdana" w:hAnsi="Verdana"/>
                <w:sz w:val="20"/>
                <w:szCs w:val="20"/>
              </w:rPr>
            </w:pPr>
            <w:r w:rsidRPr="00437EB3">
              <w:rPr>
                <w:rFonts w:ascii="Verdana" w:hAnsi="Verdana"/>
                <w:sz w:val="20"/>
                <w:szCs w:val="20"/>
              </w:rPr>
              <w:t>4.911</w:t>
            </w:r>
          </w:p>
        </w:tc>
        <w:tc>
          <w:tcPr>
            <w:tcW w:w="1276" w:type="dxa"/>
            <w:tcBorders>
              <w:bottom w:val="single" w:sz="4" w:space="0" w:color="808080"/>
              <w:right w:val="single" w:sz="4" w:space="0" w:color="808080"/>
            </w:tcBorders>
            <w:shd w:val="clear" w:color="auto" w:fill="FFFFFF"/>
            <w:noWrap/>
            <w:tcMar>
              <w:top w:w="15" w:type="dxa"/>
              <w:left w:w="15" w:type="dxa"/>
              <w:bottom w:w="0" w:type="dxa"/>
              <w:right w:w="15" w:type="dxa"/>
            </w:tcMar>
            <w:hideMark/>
          </w:tcPr>
          <w:p w14:paraId="06E35758" w14:textId="69860172" w:rsidR="00AD7651" w:rsidRPr="00437EB3" w:rsidRDefault="00AD7651" w:rsidP="00437EB3">
            <w:pPr>
              <w:rPr>
                <w:rFonts w:ascii="Verdana" w:hAnsi="Verdana"/>
                <w:sz w:val="20"/>
                <w:szCs w:val="20"/>
              </w:rPr>
            </w:pPr>
            <w:r w:rsidRPr="00437EB3">
              <w:rPr>
                <w:rFonts w:ascii="Verdana" w:hAnsi="Verdana"/>
                <w:sz w:val="20"/>
                <w:szCs w:val="20"/>
              </w:rPr>
              <w:t>5.022</w:t>
            </w:r>
          </w:p>
        </w:tc>
      </w:tr>
      <w:tr w:rsidR="00AD7651" w:rsidRPr="00437EB3" w14:paraId="0352EDDF" w14:textId="652A177F" w:rsidTr="00AD7651">
        <w:trPr>
          <w:trHeight w:val="375"/>
        </w:trPr>
        <w:tc>
          <w:tcPr>
            <w:tcW w:w="2120" w:type="dxa"/>
            <w:tcBorders>
              <w:bottom w:val="single" w:sz="4" w:space="0" w:color="808080"/>
              <w:right w:val="single" w:sz="4" w:space="0" w:color="808080"/>
            </w:tcBorders>
            <w:shd w:val="clear" w:color="auto" w:fill="FFFFFF"/>
            <w:tcMar>
              <w:top w:w="15" w:type="dxa"/>
              <w:left w:w="15" w:type="dxa"/>
              <w:bottom w:w="0" w:type="dxa"/>
              <w:right w:w="15" w:type="dxa"/>
            </w:tcMar>
            <w:hideMark/>
          </w:tcPr>
          <w:p w14:paraId="6691E8EC" w14:textId="13FEFEF9" w:rsidR="00AD7651" w:rsidRPr="00437EB3" w:rsidRDefault="00AD7651" w:rsidP="00437EB3">
            <w:pPr>
              <w:rPr>
                <w:rFonts w:ascii="Verdana" w:hAnsi="Verdana"/>
                <w:sz w:val="20"/>
                <w:szCs w:val="20"/>
              </w:rPr>
            </w:pPr>
            <w:r w:rsidRPr="00437EB3">
              <w:rPr>
                <w:rFonts w:ascii="Verdana" w:hAnsi="Verdana"/>
                <w:sz w:val="20"/>
                <w:szCs w:val="20"/>
              </w:rPr>
              <w:t>cambi abitazione </w:t>
            </w:r>
          </w:p>
        </w:tc>
        <w:tc>
          <w:tcPr>
            <w:tcW w:w="1419" w:type="dxa"/>
            <w:tcBorders>
              <w:bottom w:val="single" w:sz="4" w:space="0" w:color="808080"/>
              <w:right w:val="single" w:sz="4" w:space="0" w:color="808080"/>
            </w:tcBorders>
            <w:shd w:val="clear" w:color="auto" w:fill="FFFFFF"/>
            <w:tcMar>
              <w:top w:w="15" w:type="dxa"/>
              <w:left w:w="15" w:type="dxa"/>
              <w:bottom w:w="0" w:type="dxa"/>
              <w:right w:w="15" w:type="dxa"/>
            </w:tcMar>
            <w:hideMark/>
          </w:tcPr>
          <w:p w14:paraId="7D267661" w14:textId="7D9F24AA" w:rsidR="00AD7651" w:rsidRPr="00437EB3" w:rsidRDefault="00AD7651" w:rsidP="00437EB3">
            <w:pPr>
              <w:rPr>
                <w:rFonts w:ascii="Verdana" w:hAnsi="Verdana"/>
                <w:sz w:val="20"/>
                <w:szCs w:val="20"/>
              </w:rPr>
            </w:pPr>
            <w:r w:rsidRPr="00437EB3">
              <w:rPr>
                <w:rFonts w:ascii="Verdana" w:hAnsi="Verdana"/>
                <w:sz w:val="20"/>
                <w:szCs w:val="20"/>
              </w:rPr>
              <w:t>5.462</w:t>
            </w:r>
          </w:p>
        </w:tc>
        <w:tc>
          <w:tcPr>
            <w:tcW w:w="1418" w:type="dxa"/>
            <w:tcBorders>
              <w:bottom w:val="single" w:sz="4" w:space="0" w:color="808080"/>
              <w:right w:val="single" w:sz="4" w:space="0" w:color="808080"/>
            </w:tcBorders>
            <w:shd w:val="clear" w:color="auto" w:fill="FFFFFF"/>
            <w:tcMar>
              <w:top w:w="15" w:type="dxa"/>
              <w:left w:w="15" w:type="dxa"/>
              <w:bottom w:w="0" w:type="dxa"/>
              <w:right w:w="15" w:type="dxa"/>
            </w:tcMar>
            <w:hideMark/>
          </w:tcPr>
          <w:p w14:paraId="4798717B" w14:textId="2A8EDDC5" w:rsidR="00AD7651" w:rsidRPr="00437EB3" w:rsidRDefault="00AD7651" w:rsidP="00437EB3">
            <w:pPr>
              <w:rPr>
                <w:rFonts w:ascii="Verdana" w:hAnsi="Verdana"/>
                <w:sz w:val="20"/>
                <w:szCs w:val="20"/>
              </w:rPr>
            </w:pPr>
            <w:r w:rsidRPr="00437EB3">
              <w:rPr>
                <w:rFonts w:ascii="Verdana" w:hAnsi="Verdana"/>
                <w:sz w:val="20"/>
                <w:szCs w:val="20"/>
              </w:rPr>
              <w:t>5.685</w:t>
            </w:r>
          </w:p>
        </w:tc>
        <w:tc>
          <w:tcPr>
            <w:tcW w:w="1275" w:type="dxa"/>
            <w:tcBorders>
              <w:bottom w:val="single" w:sz="4" w:space="0" w:color="808080"/>
              <w:right w:val="single" w:sz="4" w:space="0" w:color="808080"/>
            </w:tcBorders>
            <w:shd w:val="clear" w:color="auto" w:fill="FFFFFF"/>
            <w:tcMar>
              <w:top w:w="15" w:type="dxa"/>
              <w:left w:w="15" w:type="dxa"/>
              <w:bottom w:w="0" w:type="dxa"/>
              <w:right w:w="15" w:type="dxa"/>
            </w:tcMar>
            <w:hideMark/>
          </w:tcPr>
          <w:p w14:paraId="3E465A78" w14:textId="077FAB85" w:rsidR="00AD7651" w:rsidRPr="00437EB3" w:rsidRDefault="00AD7651" w:rsidP="00437EB3">
            <w:pPr>
              <w:rPr>
                <w:rFonts w:ascii="Verdana" w:hAnsi="Verdana"/>
                <w:sz w:val="20"/>
                <w:szCs w:val="20"/>
              </w:rPr>
            </w:pPr>
            <w:r w:rsidRPr="00437EB3">
              <w:rPr>
                <w:rFonts w:ascii="Verdana" w:hAnsi="Verdana"/>
                <w:sz w:val="20"/>
                <w:szCs w:val="20"/>
              </w:rPr>
              <w:t>5.462</w:t>
            </w:r>
          </w:p>
        </w:tc>
        <w:tc>
          <w:tcPr>
            <w:tcW w:w="1276" w:type="dxa"/>
            <w:tcBorders>
              <w:bottom w:val="single" w:sz="4" w:space="0" w:color="808080"/>
              <w:right w:val="single" w:sz="4" w:space="0" w:color="808080"/>
            </w:tcBorders>
            <w:shd w:val="clear" w:color="auto" w:fill="FFFFFF"/>
            <w:noWrap/>
            <w:tcMar>
              <w:top w:w="15" w:type="dxa"/>
              <w:left w:w="15" w:type="dxa"/>
              <w:bottom w:w="0" w:type="dxa"/>
              <w:right w:w="15" w:type="dxa"/>
            </w:tcMar>
            <w:hideMark/>
          </w:tcPr>
          <w:p w14:paraId="2C097ED1" w14:textId="091FC9A2" w:rsidR="00AD7651" w:rsidRPr="00437EB3" w:rsidRDefault="00AD7651" w:rsidP="00437EB3">
            <w:pPr>
              <w:rPr>
                <w:rFonts w:ascii="Verdana" w:hAnsi="Verdana"/>
                <w:sz w:val="20"/>
                <w:szCs w:val="20"/>
              </w:rPr>
            </w:pPr>
            <w:r w:rsidRPr="00437EB3">
              <w:rPr>
                <w:rFonts w:ascii="Verdana" w:hAnsi="Verdana"/>
                <w:sz w:val="20"/>
                <w:szCs w:val="20"/>
              </w:rPr>
              <w:t>5.546</w:t>
            </w:r>
          </w:p>
        </w:tc>
      </w:tr>
      <w:tr w:rsidR="00AD7651" w:rsidRPr="00437EB3" w14:paraId="5CB34156" w14:textId="5D4ABC70" w:rsidTr="00AD7651">
        <w:trPr>
          <w:trHeight w:val="375"/>
        </w:trPr>
        <w:tc>
          <w:tcPr>
            <w:tcW w:w="2120" w:type="dxa"/>
            <w:tcBorders>
              <w:bottom w:val="single" w:sz="4" w:space="0" w:color="808080"/>
              <w:right w:val="single" w:sz="4" w:space="0" w:color="808080"/>
            </w:tcBorders>
            <w:shd w:val="clear" w:color="auto" w:fill="FFFFFF"/>
            <w:tcMar>
              <w:top w:w="15" w:type="dxa"/>
              <w:left w:w="15" w:type="dxa"/>
              <w:bottom w:w="0" w:type="dxa"/>
              <w:right w:w="15" w:type="dxa"/>
            </w:tcMar>
            <w:hideMark/>
          </w:tcPr>
          <w:p w14:paraId="74F76EC4" w14:textId="2B630834" w:rsidR="00AD7651" w:rsidRPr="00437EB3" w:rsidRDefault="00AD7651" w:rsidP="00437EB3">
            <w:pPr>
              <w:rPr>
                <w:rFonts w:ascii="Verdana" w:hAnsi="Verdana"/>
                <w:sz w:val="20"/>
                <w:szCs w:val="20"/>
              </w:rPr>
            </w:pPr>
            <w:r w:rsidRPr="00437EB3">
              <w:rPr>
                <w:rFonts w:ascii="Verdana" w:hAnsi="Verdana"/>
                <w:sz w:val="20"/>
                <w:szCs w:val="20"/>
              </w:rPr>
              <w:t>CIE rilasciate</w:t>
            </w:r>
          </w:p>
        </w:tc>
        <w:tc>
          <w:tcPr>
            <w:tcW w:w="1419" w:type="dxa"/>
            <w:tcBorders>
              <w:bottom w:val="single" w:sz="4" w:space="0" w:color="808080"/>
              <w:right w:val="single" w:sz="4" w:space="0" w:color="808080"/>
            </w:tcBorders>
            <w:shd w:val="clear" w:color="auto" w:fill="FFFFFF"/>
            <w:tcMar>
              <w:top w:w="15" w:type="dxa"/>
              <w:left w:w="15" w:type="dxa"/>
              <w:bottom w:w="0" w:type="dxa"/>
              <w:right w:w="15" w:type="dxa"/>
            </w:tcMar>
            <w:hideMark/>
          </w:tcPr>
          <w:p w14:paraId="5444F47F" w14:textId="250ED19C" w:rsidR="00AD7651" w:rsidRPr="00437EB3" w:rsidRDefault="00AD7651" w:rsidP="00437EB3">
            <w:pPr>
              <w:rPr>
                <w:rFonts w:ascii="Verdana" w:hAnsi="Verdana"/>
                <w:sz w:val="20"/>
                <w:szCs w:val="20"/>
              </w:rPr>
            </w:pPr>
            <w:r w:rsidRPr="00437EB3">
              <w:rPr>
                <w:rFonts w:ascii="Verdana" w:hAnsi="Verdana"/>
                <w:sz w:val="20"/>
                <w:szCs w:val="20"/>
              </w:rPr>
              <w:t>16.409</w:t>
            </w:r>
          </w:p>
        </w:tc>
        <w:tc>
          <w:tcPr>
            <w:tcW w:w="1418" w:type="dxa"/>
            <w:tcBorders>
              <w:bottom w:val="single" w:sz="4" w:space="0" w:color="808080"/>
              <w:right w:val="single" w:sz="4" w:space="0" w:color="808080"/>
            </w:tcBorders>
            <w:shd w:val="clear" w:color="auto" w:fill="FFFFFF"/>
            <w:tcMar>
              <w:top w:w="15" w:type="dxa"/>
              <w:left w:w="15" w:type="dxa"/>
              <w:bottom w:w="0" w:type="dxa"/>
              <w:right w:w="15" w:type="dxa"/>
            </w:tcMar>
            <w:hideMark/>
          </w:tcPr>
          <w:p w14:paraId="7464A093" w14:textId="4F506436" w:rsidR="00AD7651" w:rsidRPr="00437EB3" w:rsidRDefault="00AD7651" w:rsidP="00437EB3">
            <w:pPr>
              <w:rPr>
                <w:rFonts w:ascii="Verdana" w:hAnsi="Verdana"/>
                <w:sz w:val="20"/>
                <w:szCs w:val="20"/>
              </w:rPr>
            </w:pPr>
            <w:r w:rsidRPr="00437EB3">
              <w:rPr>
                <w:rFonts w:ascii="Verdana" w:hAnsi="Verdana"/>
                <w:sz w:val="20"/>
                <w:szCs w:val="20"/>
              </w:rPr>
              <w:t>16.551</w:t>
            </w:r>
          </w:p>
        </w:tc>
        <w:tc>
          <w:tcPr>
            <w:tcW w:w="1275" w:type="dxa"/>
            <w:tcBorders>
              <w:bottom w:val="single" w:sz="4" w:space="0" w:color="808080"/>
              <w:right w:val="single" w:sz="4" w:space="0" w:color="808080"/>
            </w:tcBorders>
            <w:shd w:val="clear" w:color="auto" w:fill="FFFFFF"/>
            <w:tcMar>
              <w:top w:w="15" w:type="dxa"/>
              <w:left w:w="15" w:type="dxa"/>
              <w:bottom w:w="0" w:type="dxa"/>
              <w:right w:w="15" w:type="dxa"/>
            </w:tcMar>
            <w:hideMark/>
          </w:tcPr>
          <w:p w14:paraId="53710B95" w14:textId="490AEFD5" w:rsidR="00AD7651" w:rsidRPr="00437EB3" w:rsidRDefault="00AD7651" w:rsidP="00437EB3">
            <w:pPr>
              <w:rPr>
                <w:rFonts w:ascii="Verdana" w:hAnsi="Verdana"/>
                <w:sz w:val="20"/>
                <w:szCs w:val="20"/>
              </w:rPr>
            </w:pPr>
            <w:r w:rsidRPr="00437EB3">
              <w:rPr>
                <w:rFonts w:ascii="Verdana" w:hAnsi="Verdana"/>
                <w:sz w:val="20"/>
                <w:szCs w:val="20"/>
              </w:rPr>
              <w:t>20.723</w:t>
            </w:r>
          </w:p>
        </w:tc>
        <w:tc>
          <w:tcPr>
            <w:tcW w:w="1276" w:type="dxa"/>
            <w:tcBorders>
              <w:bottom w:val="single" w:sz="4" w:space="0" w:color="808080"/>
              <w:right w:val="single" w:sz="4" w:space="0" w:color="808080"/>
            </w:tcBorders>
            <w:shd w:val="clear" w:color="auto" w:fill="FFFFFF"/>
            <w:noWrap/>
            <w:tcMar>
              <w:top w:w="15" w:type="dxa"/>
              <w:left w:w="15" w:type="dxa"/>
              <w:bottom w:w="0" w:type="dxa"/>
              <w:right w:w="15" w:type="dxa"/>
            </w:tcMar>
            <w:hideMark/>
          </w:tcPr>
          <w:p w14:paraId="32D6276D" w14:textId="5BCAB796" w:rsidR="00AD7651" w:rsidRPr="00437EB3" w:rsidRDefault="00AD7651" w:rsidP="00437EB3">
            <w:pPr>
              <w:rPr>
                <w:rFonts w:ascii="Verdana" w:hAnsi="Verdana"/>
                <w:sz w:val="20"/>
                <w:szCs w:val="20"/>
              </w:rPr>
            </w:pPr>
            <w:r w:rsidRPr="00437EB3">
              <w:rPr>
                <w:rFonts w:ascii="Verdana" w:hAnsi="Verdana"/>
                <w:sz w:val="20"/>
                <w:szCs w:val="20"/>
              </w:rPr>
              <w:t>16.790</w:t>
            </w:r>
          </w:p>
        </w:tc>
      </w:tr>
      <w:tr w:rsidR="00AD7651" w:rsidRPr="00437EB3" w14:paraId="2E846E97" w14:textId="0B760233" w:rsidTr="00AD7651">
        <w:trPr>
          <w:trHeight w:val="180"/>
        </w:trPr>
        <w:tc>
          <w:tcPr>
            <w:tcW w:w="2120" w:type="dxa"/>
            <w:tcBorders>
              <w:bottom w:val="single" w:sz="4" w:space="0" w:color="808080"/>
              <w:right w:val="single" w:sz="4" w:space="0" w:color="808080"/>
            </w:tcBorders>
            <w:shd w:val="clear" w:color="auto" w:fill="FFFFFF"/>
            <w:tcMar>
              <w:top w:w="15" w:type="dxa"/>
              <w:left w:w="15" w:type="dxa"/>
              <w:bottom w:w="0" w:type="dxa"/>
              <w:right w:w="15" w:type="dxa"/>
            </w:tcMar>
            <w:hideMark/>
          </w:tcPr>
          <w:p w14:paraId="63D6AD70" w14:textId="500DE690" w:rsidR="00AD7651" w:rsidRPr="00437EB3" w:rsidRDefault="00AD7651" w:rsidP="00437EB3">
            <w:pPr>
              <w:rPr>
                <w:rFonts w:ascii="Verdana" w:hAnsi="Verdana"/>
                <w:sz w:val="20"/>
                <w:szCs w:val="20"/>
              </w:rPr>
            </w:pPr>
            <w:r w:rsidRPr="00437EB3">
              <w:rPr>
                <w:rFonts w:ascii="Verdana" w:hAnsi="Verdana"/>
                <w:sz w:val="20"/>
                <w:szCs w:val="20"/>
              </w:rPr>
              <w:t xml:space="preserve">eventi di stato civile </w:t>
            </w:r>
          </w:p>
        </w:tc>
        <w:tc>
          <w:tcPr>
            <w:tcW w:w="1419" w:type="dxa"/>
            <w:tcBorders>
              <w:bottom w:val="single" w:sz="4" w:space="0" w:color="808080"/>
              <w:right w:val="single" w:sz="4" w:space="0" w:color="808080"/>
            </w:tcBorders>
            <w:shd w:val="clear" w:color="auto" w:fill="FFFFFF"/>
            <w:tcMar>
              <w:top w:w="15" w:type="dxa"/>
              <w:left w:w="15" w:type="dxa"/>
              <w:bottom w:w="0" w:type="dxa"/>
              <w:right w:w="15" w:type="dxa"/>
            </w:tcMar>
            <w:hideMark/>
          </w:tcPr>
          <w:p w14:paraId="51AA5F85" w14:textId="6C65A9D8" w:rsidR="00AD7651" w:rsidRPr="00437EB3" w:rsidRDefault="00AD7651" w:rsidP="00437EB3">
            <w:pPr>
              <w:rPr>
                <w:rFonts w:ascii="Verdana" w:hAnsi="Verdana"/>
                <w:sz w:val="20"/>
                <w:szCs w:val="20"/>
              </w:rPr>
            </w:pPr>
            <w:r w:rsidRPr="00437EB3">
              <w:rPr>
                <w:rFonts w:ascii="Verdana" w:hAnsi="Verdana"/>
                <w:sz w:val="20"/>
                <w:szCs w:val="20"/>
              </w:rPr>
              <w:t>3.848</w:t>
            </w:r>
          </w:p>
        </w:tc>
        <w:tc>
          <w:tcPr>
            <w:tcW w:w="1418" w:type="dxa"/>
            <w:tcBorders>
              <w:bottom w:val="single" w:sz="4" w:space="0" w:color="808080"/>
              <w:right w:val="single" w:sz="4" w:space="0" w:color="808080"/>
            </w:tcBorders>
            <w:shd w:val="clear" w:color="auto" w:fill="FFFFFF"/>
            <w:tcMar>
              <w:top w:w="15" w:type="dxa"/>
              <w:left w:w="15" w:type="dxa"/>
              <w:bottom w:w="0" w:type="dxa"/>
              <w:right w:w="15" w:type="dxa"/>
            </w:tcMar>
            <w:hideMark/>
          </w:tcPr>
          <w:p w14:paraId="101F610A" w14:textId="75BF5F94" w:rsidR="00AD7651" w:rsidRPr="00437EB3" w:rsidRDefault="00AD7651" w:rsidP="00437EB3">
            <w:pPr>
              <w:rPr>
                <w:rFonts w:ascii="Verdana" w:hAnsi="Verdana"/>
                <w:sz w:val="20"/>
                <w:szCs w:val="20"/>
              </w:rPr>
            </w:pPr>
            <w:r w:rsidRPr="00437EB3">
              <w:rPr>
                <w:rFonts w:ascii="Verdana" w:hAnsi="Verdana"/>
                <w:sz w:val="20"/>
                <w:szCs w:val="20"/>
              </w:rPr>
              <w:t>3.006</w:t>
            </w:r>
          </w:p>
        </w:tc>
        <w:tc>
          <w:tcPr>
            <w:tcW w:w="1275" w:type="dxa"/>
            <w:tcBorders>
              <w:bottom w:val="single" w:sz="4" w:space="0" w:color="808080"/>
              <w:right w:val="single" w:sz="4" w:space="0" w:color="808080"/>
            </w:tcBorders>
            <w:shd w:val="clear" w:color="auto" w:fill="FFFFFF"/>
            <w:tcMar>
              <w:top w:w="15" w:type="dxa"/>
              <w:left w:w="15" w:type="dxa"/>
              <w:bottom w:w="0" w:type="dxa"/>
              <w:right w:w="15" w:type="dxa"/>
            </w:tcMar>
            <w:hideMark/>
          </w:tcPr>
          <w:p w14:paraId="1EDA6971" w14:textId="4AECA45C" w:rsidR="00AD7651" w:rsidRPr="00437EB3" w:rsidRDefault="00AD7651" w:rsidP="00437EB3">
            <w:pPr>
              <w:rPr>
                <w:rFonts w:ascii="Verdana" w:hAnsi="Verdana"/>
                <w:sz w:val="20"/>
                <w:szCs w:val="20"/>
              </w:rPr>
            </w:pPr>
            <w:r w:rsidRPr="00437EB3">
              <w:rPr>
                <w:rFonts w:ascii="Verdana" w:hAnsi="Verdana"/>
                <w:sz w:val="20"/>
                <w:szCs w:val="20"/>
              </w:rPr>
              <w:t>3.288</w:t>
            </w:r>
          </w:p>
        </w:tc>
        <w:tc>
          <w:tcPr>
            <w:tcW w:w="1276" w:type="dxa"/>
            <w:tcBorders>
              <w:bottom w:val="single" w:sz="4" w:space="0" w:color="808080"/>
              <w:right w:val="single" w:sz="4" w:space="0" w:color="808080"/>
            </w:tcBorders>
            <w:shd w:val="clear" w:color="auto" w:fill="FFFFFF"/>
            <w:noWrap/>
            <w:tcMar>
              <w:top w:w="15" w:type="dxa"/>
              <w:left w:w="15" w:type="dxa"/>
              <w:bottom w:w="0" w:type="dxa"/>
              <w:right w:w="15" w:type="dxa"/>
            </w:tcMar>
            <w:hideMark/>
          </w:tcPr>
          <w:p w14:paraId="3C0BDF5B" w14:textId="4ADA0DE7" w:rsidR="00AD7651" w:rsidRPr="00437EB3" w:rsidRDefault="00AD7651" w:rsidP="00437EB3">
            <w:pPr>
              <w:rPr>
                <w:rFonts w:ascii="Verdana" w:hAnsi="Verdana"/>
                <w:sz w:val="20"/>
                <w:szCs w:val="20"/>
              </w:rPr>
            </w:pPr>
            <w:r w:rsidRPr="00437EB3">
              <w:rPr>
                <w:rFonts w:ascii="Verdana" w:hAnsi="Verdana"/>
                <w:sz w:val="20"/>
                <w:szCs w:val="20"/>
              </w:rPr>
              <w:t>3.620</w:t>
            </w:r>
          </w:p>
        </w:tc>
      </w:tr>
      <w:tr w:rsidR="00AD7651" w:rsidRPr="00437EB3" w14:paraId="3EB252AA" w14:textId="16D89D0D" w:rsidTr="00AD7651">
        <w:trPr>
          <w:trHeight w:val="375"/>
        </w:trPr>
        <w:tc>
          <w:tcPr>
            <w:tcW w:w="2120" w:type="dxa"/>
            <w:tcBorders>
              <w:bottom w:val="single" w:sz="4" w:space="0" w:color="808080"/>
              <w:right w:val="single" w:sz="4" w:space="0" w:color="808080"/>
            </w:tcBorders>
            <w:shd w:val="clear" w:color="auto" w:fill="FFFFFF"/>
            <w:tcMar>
              <w:top w:w="15" w:type="dxa"/>
              <w:left w:w="15" w:type="dxa"/>
              <w:bottom w:w="0" w:type="dxa"/>
              <w:right w:w="15" w:type="dxa"/>
            </w:tcMar>
            <w:vAlign w:val="bottom"/>
          </w:tcPr>
          <w:p w14:paraId="175A39B8" w14:textId="48653D35" w:rsidR="00AD7651" w:rsidRPr="00437EB3" w:rsidRDefault="00AD7651" w:rsidP="00437EB3">
            <w:pPr>
              <w:rPr>
                <w:rFonts w:ascii="Verdana" w:hAnsi="Verdana"/>
                <w:sz w:val="20"/>
                <w:szCs w:val="20"/>
              </w:rPr>
            </w:pPr>
            <w:r w:rsidRPr="00437EB3">
              <w:rPr>
                <w:rFonts w:ascii="Verdana" w:hAnsi="Verdana"/>
                <w:sz w:val="20"/>
                <w:szCs w:val="20"/>
              </w:rPr>
              <w:t>certificazioni di Stato civile</w:t>
            </w:r>
          </w:p>
        </w:tc>
        <w:tc>
          <w:tcPr>
            <w:tcW w:w="1419" w:type="dxa"/>
            <w:tcBorders>
              <w:bottom w:val="single" w:sz="4" w:space="0" w:color="808080"/>
              <w:right w:val="single" w:sz="4" w:space="0" w:color="808080"/>
            </w:tcBorders>
            <w:shd w:val="clear" w:color="auto" w:fill="FFFFFF"/>
            <w:tcMar>
              <w:top w:w="15" w:type="dxa"/>
              <w:left w:w="15" w:type="dxa"/>
              <w:bottom w:w="0" w:type="dxa"/>
              <w:right w:w="15" w:type="dxa"/>
            </w:tcMar>
          </w:tcPr>
          <w:p w14:paraId="6E93ED3B" w14:textId="6EEA0819" w:rsidR="00AD7651" w:rsidRPr="00437EB3" w:rsidRDefault="00AD7651" w:rsidP="00437EB3">
            <w:pPr>
              <w:rPr>
                <w:rFonts w:ascii="Verdana" w:hAnsi="Verdana"/>
                <w:sz w:val="20"/>
                <w:szCs w:val="20"/>
              </w:rPr>
            </w:pPr>
            <w:r w:rsidRPr="00437EB3">
              <w:rPr>
                <w:rFonts w:ascii="Verdana" w:hAnsi="Verdana"/>
                <w:sz w:val="20"/>
                <w:szCs w:val="20"/>
              </w:rPr>
              <w:t>7.913</w:t>
            </w:r>
          </w:p>
        </w:tc>
        <w:tc>
          <w:tcPr>
            <w:tcW w:w="1418" w:type="dxa"/>
            <w:tcBorders>
              <w:bottom w:val="single" w:sz="4" w:space="0" w:color="808080"/>
              <w:right w:val="single" w:sz="4" w:space="0" w:color="808080"/>
            </w:tcBorders>
            <w:shd w:val="clear" w:color="auto" w:fill="FFFFFF"/>
            <w:tcMar>
              <w:top w:w="15" w:type="dxa"/>
              <w:left w:w="15" w:type="dxa"/>
              <w:bottom w:w="0" w:type="dxa"/>
              <w:right w:w="15" w:type="dxa"/>
            </w:tcMar>
          </w:tcPr>
          <w:p w14:paraId="3C00E58C" w14:textId="23458BDD" w:rsidR="00AD7651" w:rsidRPr="00437EB3" w:rsidRDefault="00AD7651" w:rsidP="00437EB3">
            <w:pPr>
              <w:rPr>
                <w:rFonts w:ascii="Verdana" w:hAnsi="Verdana"/>
                <w:sz w:val="20"/>
                <w:szCs w:val="20"/>
              </w:rPr>
            </w:pPr>
            <w:r w:rsidRPr="00437EB3">
              <w:rPr>
                <w:rFonts w:ascii="Verdana" w:hAnsi="Verdana"/>
                <w:sz w:val="20"/>
                <w:szCs w:val="20"/>
              </w:rPr>
              <w:t>13.088</w:t>
            </w:r>
          </w:p>
        </w:tc>
        <w:tc>
          <w:tcPr>
            <w:tcW w:w="1275" w:type="dxa"/>
            <w:tcBorders>
              <w:bottom w:val="single" w:sz="4" w:space="0" w:color="808080"/>
              <w:right w:val="single" w:sz="4" w:space="0" w:color="808080"/>
            </w:tcBorders>
            <w:shd w:val="clear" w:color="auto" w:fill="FFFFFF"/>
            <w:tcMar>
              <w:top w:w="15" w:type="dxa"/>
              <w:left w:w="15" w:type="dxa"/>
              <w:bottom w:w="0" w:type="dxa"/>
              <w:right w:w="15" w:type="dxa"/>
            </w:tcMar>
          </w:tcPr>
          <w:p w14:paraId="0973021B" w14:textId="3E135C9A" w:rsidR="00AD7651" w:rsidRPr="00437EB3" w:rsidRDefault="00AD7651" w:rsidP="00437EB3">
            <w:pPr>
              <w:rPr>
                <w:rFonts w:ascii="Verdana" w:hAnsi="Verdana"/>
                <w:sz w:val="20"/>
                <w:szCs w:val="20"/>
              </w:rPr>
            </w:pPr>
            <w:r w:rsidRPr="00437EB3">
              <w:rPr>
                <w:rFonts w:ascii="Verdana" w:hAnsi="Verdana"/>
                <w:sz w:val="20"/>
                <w:szCs w:val="20"/>
              </w:rPr>
              <w:t>14.335</w:t>
            </w:r>
          </w:p>
        </w:tc>
        <w:tc>
          <w:tcPr>
            <w:tcW w:w="1276" w:type="dxa"/>
            <w:tcBorders>
              <w:bottom w:val="single" w:sz="4" w:space="0" w:color="808080"/>
              <w:right w:val="single" w:sz="4" w:space="0" w:color="808080"/>
            </w:tcBorders>
            <w:shd w:val="clear" w:color="auto" w:fill="FFFFFF"/>
            <w:noWrap/>
            <w:tcMar>
              <w:top w:w="15" w:type="dxa"/>
              <w:left w:w="15" w:type="dxa"/>
              <w:bottom w:w="0" w:type="dxa"/>
              <w:right w:w="15" w:type="dxa"/>
            </w:tcMar>
          </w:tcPr>
          <w:p w14:paraId="1C247BE9" w14:textId="07D44615" w:rsidR="00AD7651" w:rsidRPr="00437EB3" w:rsidRDefault="00AD7651" w:rsidP="00437EB3">
            <w:pPr>
              <w:rPr>
                <w:rFonts w:ascii="Verdana" w:hAnsi="Verdana"/>
                <w:sz w:val="20"/>
                <w:szCs w:val="20"/>
              </w:rPr>
            </w:pPr>
            <w:r w:rsidRPr="00437EB3">
              <w:rPr>
                <w:rFonts w:ascii="Verdana" w:hAnsi="Verdana"/>
                <w:sz w:val="20"/>
                <w:szCs w:val="20"/>
              </w:rPr>
              <w:t>15.313</w:t>
            </w:r>
          </w:p>
        </w:tc>
      </w:tr>
      <w:tr w:rsidR="00AD7651" w:rsidRPr="00437EB3" w14:paraId="68E0D9F6" w14:textId="1C8DF79D" w:rsidTr="00AD7651">
        <w:trPr>
          <w:trHeight w:val="180"/>
        </w:trPr>
        <w:tc>
          <w:tcPr>
            <w:tcW w:w="2120" w:type="dxa"/>
            <w:tcBorders>
              <w:bottom w:val="single" w:sz="4" w:space="0" w:color="808080"/>
              <w:right w:val="single" w:sz="4" w:space="0" w:color="808080"/>
            </w:tcBorders>
            <w:shd w:val="clear" w:color="auto" w:fill="FFFFFF"/>
            <w:tcMar>
              <w:top w:w="15" w:type="dxa"/>
              <w:left w:w="15" w:type="dxa"/>
              <w:bottom w:w="0" w:type="dxa"/>
              <w:right w:w="15" w:type="dxa"/>
            </w:tcMar>
            <w:hideMark/>
          </w:tcPr>
          <w:p w14:paraId="383E9920" w14:textId="16CEBE34" w:rsidR="00AD7651" w:rsidRPr="00437EB3" w:rsidRDefault="00AD7651" w:rsidP="00437EB3">
            <w:pPr>
              <w:rPr>
                <w:rFonts w:ascii="Verdana" w:hAnsi="Verdana"/>
                <w:sz w:val="20"/>
                <w:szCs w:val="20"/>
              </w:rPr>
            </w:pPr>
            <w:r w:rsidRPr="00437EB3">
              <w:rPr>
                <w:rFonts w:ascii="Verdana" w:hAnsi="Verdana"/>
                <w:sz w:val="20"/>
                <w:szCs w:val="20"/>
              </w:rPr>
              <w:t>protocolli</w:t>
            </w:r>
          </w:p>
        </w:tc>
        <w:tc>
          <w:tcPr>
            <w:tcW w:w="1419" w:type="dxa"/>
            <w:tcBorders>
              <w:bottom w:val="single" w:sz="4" w:space="0" w:color="808080"/>
              <w:right w:val="single" w:sz="4" w:space="0" w:color="808080"/>
            </w:tcBorders>
            <w:shd w:val="clear" w:color="auto" w:fill="FFFFFF"/>
            <w:tcMar>
              <w:top w:w="15" w:type="dxa"/>
              <w:left w:w="15" w:type="dxa"/>
              <w:bottom w:w="0" w:type="dxa"/>
              <w:right w:w="15" w:type="dxa"/>
            </w:tcMar>
            <w:hideMark/>
          </w:tcPr>
          <w:p w14:paraId="12CAFF51" w14:textId="1558F042" w:rsidR="00AD7651" w:rsidRPr="00437EB3" w:rsidRDefault="00AD7651" w:rsidP="00437EB3">
            <w:pPr>
              <w:rPr>
                <w:rFonts w:ascii="Verdana" w:hAnsi="Verdana"/>
                <w:sz w:val="20"/>
                <w:szCs w:val="20"/>
              </w:rPr>
            </w:pPr>
            <w:r w:rsidRPr="00437EB3">
              <w:rPr>
                <w:rFonts w:ascii="Verdana" w:hAnsi="Verdana"/>
                <w:sz w:val="20"/>
                <w:szCs w:val="20"/>
              </w:rPr>
              <w:t>122.055</w:t>
            </w:r>
          </w:p>
        </w:tc>
        <w:tc>
          <w:tcPr>
            <w:tcW w:w="1418" w:type="dxa"/>
            <w:tcBorders>
              <w:bottom w:val="single" w:sz="4" w:space="0" w:color="808080"/>
              <w:right w:val="single" w:sz="4" w:space="0" w:color="808080"/>
            </w:tcBorders>
            <w:shd w:val="clear" w:color="auto" w:fill="FFFFFF"/>
            <w:tcMar>
              <w:top w:w="15" w:type="dxa"/>
              <w:left w:w="15" w:type="dxa"/>
              <w:bottom w:w="0" w:type="dxa"/>
              <w:right w:w="15" w:type="dxa"/>
            </w:tcMar>
            <w:hideMark/>
          </w:tcPr>
          <w:p w14:paraId="10B175C9" w14:textId="6E9630D6" w:rsidR="00AD7651" w:rsidRPr="00437EB3" w:rsidRDefault="00AD7651" w:rsidP="00437EB3">
            <w:pPr>
              <w:rPr>
                <w:rFonts w:ascii="Verdana" w:hAnsi="Verdana"/>
                <w:sz w:val="20"/>
                <w:szCs w:val="20"/>
              </w:rPr>
            </w:pPr>
            <w:r w:rsidRPr="00437EB3">
              <w:rPr>
                <w:rFonts w:ascii="Verdana" w:hAnsi="Verdana"/>
                <w:sz w:val="20"/>
                <w:szCs w:val="20"/>
              </w:rPr>
              <w:t>137.936</w:t>
            </w:r>
          </w:p>
        </w:tc>
        <w:tc>
          <w:tcPr>
            <w:tcW w:w="1275" w:type="dxa"/>
            <w:tcBorders>
              <w:bottom w:val="single" w:sz="4" w:space="0" w:color="808080"/>
              <w:right w:val="single" w:sz="4" w:space="0" w:color="808080"/>
            </w:tcBorders>
            <w:shd w:val="clear" w:color="auto" w:fill="FFFFFF"/>
            <w:tcMar>
              <w:top w:w="15" w:type="dxa"/>
              <w:left w:w="15" w:type="dxa"/>
              <w:bottom w:w="0" w:type="dxa"/>
              <w:right w:w="15" w:type="dxa"/>
            </w:tcMar>
            <w:hideMark/>
          </w:tcPr>
          <w:p w14:paraId="03004BB5" w14:textId="35C6B118" w:rsidR="00AD7651" w:rsidRPr="00437EB3" w:rsidRDefault="00AD7651" w:rsidP="00437EB3">
            <w:pPr>
              <w:rPr>
                <w:rFonts w:ascii="Verdana" w:hAnsi="Verdana"/>
                <w:sz w:val="20"/>
                <w:szCs w:val="20"/>
              </w:rPr>
            </w:pPr>
            <w:r w:rsidRPr="00437EB3">
              <w:rPr>
                <w:rFonts w:ascii="Verdana" w:hAnsi="Verdana"/>
                <w:sz w:val="20"/>
                <w:szCs w:val="20"/>
              </w:rPr>
              <w:t>126.774</w:t>
            </w:r>
          </w:p>
        </w:tc>
        <w:tc>
          <w:tcPr>
            <w:tcW w:w="1276" w:type="dxa"/>
            <w:tcBorders>
              <w:bottom w:val="single" w:sz="4" w:space="0" w:color="808080"/>
              <w:right w:val="single" w:sz="4" w:space="0" w:color="808080"/>
            </w:tcBorders>
            <w:shd w:val="clear" w:color="auto" w:fill="FFFFFF"/>
            <w:noWrap/>
            <w:tcMar>
              <w:top w:w="15" w:type="dxa"/>
              <w:left w:w="15" w:type="dxa"/>
              <w:bottom w:w="0" w:type="dxa"/>
              <w:right w:w="15" w:type="dxa"/>
            </w:tcMar>
            <w:hideMark/>
          </w:tcPr>
          <w:p w14:paraId="3D650E42" w14:textId="0F87E71E" w:rsidR="00AD7651" w:rsidRPr="00437EB3" w:rsidRDefault="00AD7651" w:rsidP="00437EB3">
            <w:pPr>
              <w:rPr>
                <w:rFonts w:ascii="Verdana" w:hAnsi="Verdana"/>
                <w:sz w:val="20"/>
                <w:szCs w:val="20"/>
              </w:rPr>
            </w:pPr>
            <w:r w:rsidRPr="00437EB3">
              <w:rPr>
                <w:rFonts w:ascii="Verdana" w:hAnsi="Verdana"/>
                <w:sz w:val="20"/>
                <w:szCs w:val="20"/>
              </w:rPr>
              <w:t>124.552</w:t>
            </w:r>
          </w:p>
        </w:tc>
      </w:tr>
      <w:tr w:rsidR="00AD7651" w:rsidRPr="00437EB3" w14:paraId="5A5F4DC1" w14:textId="5DE51B2C" w:rsidTr="00191B2E">
        <w:trPr>
          <w:trHeight w:val="375"/>
        </w:trPr>
        <w:tc>
          <w:tcPr>
            <w:tcW w:w="2120" w:type="dxa"/>
            <w:tcBorders>
              <w:bottom w:val="single" w:sz="4" w:space="0" w:color="auto"/>
              <w:right w:val="single" w:sz="4" w:space="0" w:color="808080"/>
            </w:tcBorders>
            <w:shd w:val="clear" w:color="auto" w:fill="FFFFFF"/>
            <w:tcMar>
              <w:top w:w="15" w:type="dxa"/>
              <w:left w:w="15" w:type="dxa"/>
              <w:bottom w:w="0" w:type="dxa"/>
              <w:right w:w="15" w:type="dxa"/>
            </w:tcMar>
            <w:hideMark/>
          </w:tcPr>
          <w:p w14:paraId="1EAB8C4E" w14:textId="63999AA6" w:rsidR="00AD7651" w:rsidRPr="00437EB3" w:rsidRDefault="00AD7651" w:rsidP="00437EB3">
            <w:pPr>
              <w:rPr>
                <w:rFonts w:ascii="Verdana" w:hAnsi="Verdana"/>
                <w:sz w:val="20"/>
                <w:szCs w:val="20"/>
              </w:rPr>
            </w:pPr>
            <w:r w:rsidRPr="00437EB3">
              <w:rPr>
                <w:rFonts w:ascii="Verdana" w:hAnsi="Verdana"/>
                <w:sz w:val="20"/>
                <w:szCs w:val="20"/>
              </w:rPr>
              <w:t xml:space="preserve">mail </w:t>
            </w:r>
          </w:p>
        </w:tc>
        <w:tc>
          <w:tcPr>
            <w:tcW w:w="1419" w:type="dxa"/>
            <w:tcBorders>
              <w:bottom w:val="single" w:sz="4" w:space="0" w:color="auto"/>
              <w:right w:val="single" w:sz="4" w:space="0" w:color="808080"/>
            </w:tcBorders>
            <w:shd w:val="clear" w:color="auto" w:fill="FFFFFF"/>
            <w:tcMar>
              <w:top w:w="15" w:type="dxa"/>
              <w:left w:w="15" w:type="dxa"/>
              <w:bottom w:w="0" w:type="dxa"/>
              <w:right w:w="15" w:type="dxa"/>
            </w:tcMar>
            <w:hideMark/>
          </w:tcPr>
          <w:p w14:paraId="43C37DD5" w14:textId="4C15B693" w:rsidR="00AD7651" w:rsidRPr="00437EB3" w:rsidRDefault="00AD7651" w:rsidP="00437EB3">
            <w:pPr>
              <w:rPr>
                <w:rFonts w:ascii="Verdana" w:hAnsi="Verdana"/>
                <w:sz w:val="20"/>
                <w:szCs w:val="20"/>
              </w:rPr>
            </w:pPr>
            <w:r w:rsidRPr="00437EB3">
              <w:rPr>
                <w:rFonts w:ascii="Verdana" w:hAnsi="Verdana"/>
                <w:sz w:val="20"/>
                <w:szCs w:val="20"/>
              </w:rPr>
              <w:t>56.868</w:t>
            </w:r>
          </w:p>
        </w:tc>
        <w:tc>
          <w:tcPr>
            <w:tcW w:w="1418" w:type="dxa"/>
            <w:tcBorders>
              <w:bottom w:val="single" w:sz="4" w:space="0" w:color="auto"/>
              <w:right w:val="single" w:sz="4" w:space="0" w:color="808080"/>
            </w:tcBorders>
            <w:shd w:val="clear" w:color="auto" w:fill="FFFFFF"/>
            <w:tcMar>
              <w:top w:w="15" w:type="dxa"/>
              <w:left w:w="15" w:type="dxa"/>
              <w:bottom w:w="0" w:type="dxa"/>
              <w:right w:w="15" w:type="dxa"/>
            </w:tcMar>
            <w:hideMark/>
          </w:tcPr>
          <w:p w14:paraId="3DBF3E1A" w14:textId="4F877BB6" w:rsidR="00AD7651" w:rsidRPr="00437EB3" w:rsidRDefault="00AD7651" w:rsidP="00437EB3">
            <w:pPr>
              <w:rPr>
                <w:rFonts w:ascii="Verdana" w:hAnsi="Verdana"/>
                <w:sz w:val="20"/>
                <w:szCs w:val="20"/>
              </w:rPr>
            </w:pPr>
            <w:r w:rsidRPr="00437EB3">
              <w:rPr>
                <w:rFonts w:ascii="Verdana" w:hAnsi="Verdana"/>
                <w:sz w:val="20"/>
                <w:szCs w:val="20"/>
              </w:rPr>
              <w:t>46.915</w:t>
            </w:r>
          </w:p>
        </w:tc>
        <w:tc>
          <w:tcPr>
            <w:tcW w:w="1275" w:type="dxa"/>
            <w:tcBorders>
              <w:bottom w:val="single" w:sz="4" w:space="0" w:color="auto"/>
              <w:right w:val="single" w:sz="4" w:space="0" w:color="808080"/>
            </w:tcBorders>
            <w:shd w:val="clear" w:color="auto" w:fill="FFFFFF"/>
            <w:tcMar>
              <w:top w:w="15" w:type="dxa"/>
              <w:left w:w="15" w:type="dxa"/>
              <w:bottom w:w="0" w:type="dxa"/>
              <w:right w:w="15" w:type="dxa"/>
            </w:tcMar>
            <w:hideMark/>
          </w:tcPr>
          <w:p w14:paraId="6CBE5099" w14:textId="6A9594F8" w:rsidR="00AD7651" w:rsidRPr="00437EB3" w:rsidRDefault="00AD7651" w:rsidP="00437EB3">
            <w:pPr>
              <w:rPr>
                <w:rFonts w:ascii="Verdana" w:hAnsi="Verdana"/>
                <w:sz w:val="20"/>
                <w:szCs w:val="20"/>
              </w:rPr>
            </w:pPr>
            <w:r w:rsidRPr="00437EB3">
              <w:rPr>
                <w:rFonts w:ascii="Verdana" w:hAnsi="Verdana"/>
                <w:sz w:val="20"/>
                <w:szCs w:val="20"/>
              </w:rPr>
              <w:t>38.420</w:t>
            </w:r>
          </w:p>
        </w:tc>
        <w:tc>
          <w:tcPr>
            <w:tcW w:w="1276" w:type="dxa"/>
            <w:tcBorders>
              <w:bottom w:val="single" w:sz="4" w:space="0" w:color="auto"/>
              <w:right w:val="single" w:sz="4" w:space="0" w:color="808080"/>
            </w:tcBorders>
            <w:shd w:val="clear" w:color="auto" w:fill="FFFFFF"/>
            <w:noWrap/>
            <w:tcMar>
              <w:top w:w="15" w:type="dxa"/>
              <w:left w:w="15" w:type="dxa"/>
              <w:bottom w:w="0" w:type="dxa"/>
              <w:right w:w="15" w:type="dxa"/>
            </w:tcMar>
            <w:hideMark/>
          </w:tcPr>
          <w:p w14:paraId="5C26DFA9" w14:textId="13ADF12A" w:rsidR="00AD7651" w:rsidRPr="00437EB3" w:rsidRDefault="00AD7651" w:rsidP="00437EB3">
            <w:pPr>
              <w:rPr>
                <w:rFonts w:ascii="Verdana" w:hAnsi="Verdana"/>
                <w:sz w:val="20"/>
                <w:szCs w:val="20"/>
              </w:rPr>
            </w:pPr>
            <w:r w:rsidRPr="00437EB3">
              <w:rPr>
                <w:rFonts w:ascii="Verdana" w:hAnsi="Verdana"/>
                <w:sz w:val="20"/>
                <w:szCs w:val="20"/>
              </w:rPr>
              <w:t>39.383</w:t>
            </w:r>
          </w:p>
        </w:tc>
      </w:tr>
    </w:tbl>
    <w:p w14:paraId="5667C5E7" w14:textId="34192060" w:rsidR="00437EB3" w:rsidRDefault="00437EB3">
      <w:pPr>
        <w:rPr>
          <w:rFonts w:ascii="Verdana" w:hAnsi="Verdana"/>
          <w:sz w:val="20"/>
          <w:szCs w:val="20"/>
        </w:rPr>
      </w:pPr>
      <w:r>
        <w:rPr>
          <w:rFonts w:ascii="Verdana" w:hAnsi="Verdana"/>
          <w:sz w:val="20"/>
          <w:szCs w:val="20"/>
        </w:rPr>
        <w:t xml:space="preserve"> </w:t>
      </w:r>
    </w:p>
    <w:p w14:paraId="4FD5AB2D" w14:textId="6AEC937E" w:rsidR="00B603D5" w:rsidRDefault="00B603D5">
      <w:pPr>
        <w:rPr>
          <w:rFonts w:ascii="Verdana" w:hAnsi="Verdana"/>
          <w:sz w:val="20"/>
          <w:szCs w:val="20"/>
        </w:rPr>
      </w:pPr>
    </w:p>
    <w:p w14:paraId="0DC22B91" w14:textId="1CF40659" w:rsidR="00191B2E" w:rsidRPr="00191B2E" w:rsidRDefault="00103237" w:rsidP="00191B2E">
      <w:pPr>
        <w:jc w:val="both"/>
        <w:rPr>
          <w:rFonts w:ascii="Verdana" w:hAnsi="Verdana"/>
          <w:sz w:val="20"/>
          <w:szCs w:val="20"/>
        </w:rPr>
      </w:pPr>
      <w:r>
        <w:rPr>
          <w:rFonts w:ascii="Verdana" w:hAnsi="Verdana"/>
          <w:sz w:val="20"/>
          <w:szCs w:val="20"/>
        </w:rPr>
        <w:t>Dal</w:t>
      </w:r>
      <w:r w:rsidR="00191B2E" w:rsidRPr="00191B2E">
        <w:rPr>
          <w:rFonts w:ascii="Verdana" w:hAnsi="Verdana"/>
          <w:sz w:val="20"/>
          <w:szCs w:val="20"/>
        </w:rPr>
        <w:t xml:space="preserve"> </w:t>
      </w:r>
      <w:r>
        <w:rPr>
          <w:rFonts w:ascii="Verdana" w:hAnsi="Verdana"/>
          <w:sz w:val="20"/>
          <w:szCs w:val="20"/>
        </w:rPr>
        <w:t>2</w:t>
      </w:r>
      <w:r w:rsidR="00191B2E" w:rsidRPr="00191B2E">
        <w:rPr>
          <w:rFonts w:ascii="Verdana" w:hAnsi="Verdana"/>
          <w:sz w:val="20"/>
          <w:szCs w:val="20"/>
        </w:rPr>
        <w:t xml:space="preserve">024 l’Ufficio Servizi demografici offre alla Questura supporto nella distribuzione dei </w:t>
      </w:r>
      <w:r w:rsidR="00191B2E" w:rsidRPr="006A0FC5">
        <w:rPr>
          <w:rFonts w:ascii="Verdana" w:hAnsi="Verdana"/>
          <w:b/>
          <w:bCs/>
          <w:color w:val="FF0000"/>
          <w:sz w:val="20"/>
          <w:szCs w:val="20"/>
        </w:rPr>
        <w:t>passaporti</w:t>
      </w:r>
      <w:r w:rsidR="00191B2E" w:rsidRPr="00191B2E">
        <w:rPr>
          <w:rFonts w:ascii="Verdana" w:hAnsi="Verdana"/>
          <w:sz w:val="20"/>
          <w:szCs w:val="20"/>
        </w:rPr>
        <w:t xml:space="preserve"> ai residenti</w:t>
      </w:r>
      <w:r w:rsidR="00191B2E">
        <w:rPr>
          <w:rFonts w:ascii="Verdana" w:hAnsi="Verdana"/>
          <w:sz w:val="20"/>
          <w:szCs w:val="20"/>
        </w:rPr>
        <w:t>, che continuerà per un altro anno</w:t>
      </w:r>
      <w:r w:rsidR="00191B2E" w:rsidRPr="00191B2E">
        <w:rPr>
          <w:rFonts w:ascii="Verdana" w:hAnsi="Verdana"/>
          <w:sz w:val="20"/>
          <w:szCs w:val="20"/>
        </w:rPr>
        <w:t>:</w:t>
      </w:r>
    </w:p>
    <w:p w14:paraId="649FA927" w14:textId="708CE1B5" w:rsidR="00191B2E" w:rsidRPr="00191B2E" w:rsidRDefault="00191B2E" w:rsidP="00191B2E">
      <w:pPr>
        <w:jc w:val="both"/>
        <w:rPr>
          <w:rFonts w:ascii="Verdana" w:hAnsi="Verdana"/>
          <w:sz w:val="20"/>
          <w:szCs w:val="20"/>
        </w:rPr>
      </w:pPr>
      <w:r w:rsidRPr="00191B2E">
        <w:rPr>
          <w:rFonts w:ascii="Verdana" w:hAnsi="Verdana"/>
          <w:b/>
          <w:bCs/>
          <w:sz w:val="20"/>
          <w:szCs w:val="20"/>
        </w:rPr>
        <w:t>dal 23.09.2024 al 07.08.2025</w:t>
      </w:r>
      <w:r w:rsidRPr="00191B2E">
        <w:rPr>
          <w:rFonts w:ascii="Verdana" w:hAnsi="Verdana"/>
          <w:sz w:val="20"/>
          <w:szCs w:val="20"/>
        </w:rPr>
        <w:t xml:space="preserve"> sono stati presi in carico </w:t>
      </w:r>
      <w:r w:rsidRPr="00191B2E">
        <w:rPr>
          <w:rFonts w:ascii="Verdana" w:hAnsi="Verdana"/>
          <w:b/>
          <w:bCs/>
          <w:sz w:val="20"/>
          <w:szCs w:val="20"/>
        </w:rPr>
        <w:t>3.934 passaporti</w:t>
      </w:r>
      <w:r>
        <w:rPr>
          <w:rFonts w:ascii="Verdana" w:hAnsi="Verdana"/>
          <w:sz w:val="20"/>
          <w:szCs w:val="20"/>
        </w:rPr>
        <w:t>.</w:t>
      </w:r>
    </w:p>
    <w:p w14:paraId="30E887F1" w14:textId="77777777" w:rsidR="00191B2E" w:rsidRDefault="00191B2E" w:rsidP="00191B2E">
      <w:pPr>
        <w:jc w:val="both"/>
        <w:rPr>
          <w:rFonts w:ascii="Verdana" w:hAnsi="Verdana"/>
          <w:sz w:val="20"/>
          <w:szCs w:val="20"/>
        </w:rPr>
      </w:pPr>
      <w:r w:rsidRPr="00191B2E">
        <w:rPr>
          <w:rFonts w:ascii="Verdana" w:hAnsi="Verdana"/>
          <w:sz w:val="20"/>
          <w:szCs w:val="20"/>
        </w:rPr>
        <w:t>Il beneficio per i cittadini di Bolzano è stato indubbio, dal momento che hanno potuto contare sull’effettiva riduzione dei tempi di attesa per il rilascio dei passaporti.</w:t>
      </w:r>
    </w:p>
    <w:p w14:paraId="2CBF58B0" w14:textId="77777777" w:rsidR="00191B2E" w:rsidRDefault="00191B2E" w:rsidP="00191B2E">
      <w:pPr>
        <w:jc w:val="both"/>
        <w:rPr>
          <w:rFonts w:ascii="Verdana" w:hAnsi="Verdana"/>
          <w:sz w:val="20"/>
          <w:szCs w:val="20"/>
        </w:rPr>
      </w:pPr>
    </w:p>
    <w:p w14:paraId="6E9452D0" w14:textId="77777777" w:rsidR="00103237" w:rsidRDefault="00103237" w:rsidP="00191B2E">
      <w:pPr>
        <w:jc w:val="both"/>
        <w:rPr>
          <w:rFonts w:ascii="Verdana" w:hAnsi="Verdana"/>
          <w:sz w:val="20"/>
          <w:szCs w:val="20"/>
        </w:rPr>
      </w:pPr>
    </w:p>
    <w:p w14:paraId="0521055F" w14:textId="77777777" w:rsidR="00103237" w:rsidRDefault="00103237" w:rsidP="00191B2E">
      <w:pPr>
        <w:jc w:val="both"/>
        <w:rPr>
          <w:rFonts w:ascii="Verdana" w:hAnsi="Verdana"/>
          <w:sz w:val="20"/>
          <w:szCs w:val="20"/>
        </w:rPr>
      </w:pPr>
    </w:p>
    <w:p w14:paraId="16109BB7" w14:textId="77777777" w:rsidR="00103237" w:rsidRDefault="00103237" w:rsidP="00191B2E">
      <w:pPr>
        <w:jc w:val="both"/>
        <w:rPr>
          <w:rFonts w:ascii="Verdana" w:hAnsi="Verdana"/>
          <w:sz w:val="20"/>
          <w:szCs w:val="20"/>
        </w:rPr>
      </w:pPr>
    </w:p>
    <w:sectPr w:rsidR="0010323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4AA"/>
    <w:rsid w:val="00103237"/>
    <w:rsid w:val="00161F03"/>
    <w:rsid w:val="00191B2E"/>
    <w:rsid w:val="003703BE"/>
    <w:rsid w:val="003B2B47"/>
    <w:rsid w:val="00437EB3"/>
    <w:rsid w:val="0051652F"/>
    <w:rsid w:val="00552BB7"/>
    <w:rsid w:val="005912D1"/>
    <w:rsid w:val="006A0FC5"/>
    <w:rsid w:val="009E64AA"/>
    <w:rsid w:val="00AD7651"/>
    <w:rsid w:val="00B603D5"/>
    <w:rsid w:val="00C57749"/>
    <w:rsid w:val="00C83770"/>
    <w:rsid w:val="00D51109"/>
    <w:rsid w:val="00FB14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27C696"/>
  <w15:chartTrackingRefBased/>
  <w15:docId w15:val="{88738FE1-468E-411C-AE38-2204B3497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it-IT" w:eastAsia="it-IT"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912D1"/>
    <w:rPr>
      <w:sz w:val="24"/>
      <w:szCs w:val="24"/>
    </w:rPr>
  </w:style>
  <w:style w:type="paragraph" w:styleId="Titolo1">
    <w:name w:val="heading 1"/>
    <w:basedOn w:val="Normale"/>
    <w:next w:val="Normale"/>
    <w:link w:val="Titolo1Carattere"/>
    <w:qFormat/>
    <w:rsid w:val="009E64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semiHidden/>
    <w:unhideWhenUsed/>
    <w:qFormat/>
    <w:rsid w:val="009E64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semiHidden/>
    <w:unhideWhenUsed/>
    <w:qFormat/>
    <w:rsid w:val="009E64A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semiHidden/>
    <w:unhideWhenUsed/>
    <w:qFormat/>
    <w:rsid w:val="009E64A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semiHidden/>
    <w:unhideWhenUsed/>
    <w:qFormat/>
    <w:rsid w:val="009E64AA"/>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semiHidden/>
    <w:unhideWhenUsed/>
    <w:qFormat/>
    <w:rsid w:val="009E64AA"/>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semiHidden/>
    <w:unhideWhenUsed/>
    <w:qFormat/>
    <w:rsid w:val="009E64AA"/>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semiHidden/>
    <w:unhideWhenUsed/>
    <w:qFormat/>
    <w:rsid w:val="009E64AA"/>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semiHidden/>
    <w:unhideWhenUsed/>
    <w:qFormat/>
    <w:rsid w:val="009E64AA"/>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9E64A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semiHidden/>
    <w:rsid w:val="009E64A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semiHidden/>
    <w:rsid w:val="009E64AA"/>
    <w:rPr>
      <w:rFonts w:asciiTheme="minorHAnsi" w:eastAsiaTheme="majorEastAsia" w:hAnsiTheme="minorHAnsi" w:cstheme="majorBidi"/>
      <w:color w:val="0F4761" w:themeColor="accent1" w:themeShade="BF"/>
      <w:sz w:val="28"/>
      <w:szCs w:val="28"/>
    </w:rPr>
  </w:style>
  <w:style w:type="character" w:customStyle="1" w:styleId="Titolo4Carattere">
    <w:name w:val="Titolo 4 Carattere"/>
    <w:basedOn w:val="Carpredefinitoparagrafo"/>
    <w:link w:val="Titolo4"/>
    <w:semiHidden/>
    <w:rsid w:val="009E64AA"/>
    <w:rPr>
      <w:rFonts w:asciiTheme="minorHAnsi" w:eastAsiaTheme="majorEastAsia" w:hAnsiTheme="minorHAnsi" w:cstheme="majorBidi"/>
      <w:i/>
      <w:iCs/>
      <w:color w:val="0F4761" w:themeColor="accent1" w:themeShade="BF"/>
      <w:sz w:val="24"/>
      <w:szCs w:val="24"/>
    </w:rPr>
  </w:style>
  <w:style w:type="character" w:customStyle="1" w:styleId="Titolo5Carattere">
    <w:name w:val="Titolo 5 Carattere"/>
    <w:basedOn w:val="Carpredefinitoparagrafo"/>
    <w:link w:val="Titolo5"/>
    <w:semiHidden/>
    <w:rsid w:val="009E64AA"/>
    <w:rPr>
      <w:rFonts w:asciiTheme="minorHAnsi" w:eastAsiaTheme="majorEastAsia" w:hAnsiTheme="minorHAnsi" w:cstheme="majorBidi"/>
      <w:color w:val="0F4761" w:themeColor="accent1" w:themeShade="BF"/>
      <w:sz w:val="24"/>
      <w:szCs w:val="24"/>
    </w:rPr>
  </w:style>
  <w:style w:type="character" w:customStyle="1" w:styleId="Titolo6Carattere">
    <w:name w:val="Titolo 6 Carattere"/>
    <w:basedOn w:val="Carpredefinitoparagrafo"/>
    <w:link w:val="Titolo6"/>
    <w:semiHidden/>
    <w:rsid w:val="009E64AA"/>
    <w:rPr>
      <w:rFonts w:asciiTheme="minorHAnsi" w:eastAsiaTheme="majorEastAsia" w:hAnsiTheme="minorHAnsi" w:cstheme="majorBidi"/>
      <w:i/>
      <w:iCs/>
      <w:color w:val="595959" w:themeColor="text1" w:themeTint="A6"/>
      <w:sz w:val="24"/>
      <w:szCs w:val="24"/>
    </w:rPr>
  </w:style>
  <w:style w:type="character" w:customStyle="1" w:styleId="Titolo7Carattere">
    <w:name w:val="Titolo 7 Carattere"/>
    <w:basedOn w:val="Carpredefinitoparagrafo"/>
    <w:link w:val="Titolo7"/>
    <w:semiHidden/>
    <w:rsid w:val="009E64AA"/>
    <w:rPr>
      <w:rFonts w:asciiTheme="minorHAnsi" w:eastAsiaTheme="majorEastAsia" w:hAnsiTheme="minorHAnsi" w:cstheme="majorBidi"/>
      <w:color w:val="595959" w:themeColor="text1" w:themeTint="A6"/>
      <w:sz w:val="24"/>
      <w:szCs w:val="24"/>
    </w:rPr>
  </w:style>
  <w:style w:type="character" w:customStyle="1" w:styleId="Titolo8Carattere">
    <w:name w:val="Titolo 8 Carattere"/>
    <w:basedOn w:val="Carpredefinitoparagrafo"/>
    <w:link w:val="Titolo8"/>
    <w:semiHidden/>
    <w:rsid w:val="009E64AA"/>
    <w:rPr>
      <w:rFonts w:asciiTheme="minorHAnsi" w:eastAsiaTheme="majorEastAsia" w:hAnsiTheme="minorHAnsi" w:cstheme="majorBidi"/>
      <w:i/>
      <w:iCs/>
      <w:color w:val="272727" w:themeColor="text1" w:themeTint="D8"/>
      <w:sz w:val="24"/>
      <w:szCs w:val="24"/>
    </w:rPr>
  </w:style>
  <w:style w:type="character" w:customStyle="1" w:styleId="Titolo9Carattere">
    <w:name w:val="Titolo 9 Carattere"/>
    <w:basedOn w:val="Carpredefinitoparagrafo"/>
    <w:link w:val="Titolo9"/>
    <w:semiHidden/>
    <w:rsid w:val="009E64AA"/>
    <w:rPr>
      <w:rFonts w:asciiTheme="minorHAnsi" w:eastAsiaTheme="majorEastAsia" w:hAnsiTheme="minorHAnsi" w:cstheme="majorBidi"/>
      <w:color w:val="272727" w:themeColor="text1" w:themeTint="D8"/>
      <w:sz w:val="24"/>
      <w:szCs w:val="24"/>
    </w:rPr>
  </w:style>
  <w:style w:type="paragraph" w:styleId="Titolo">
    <w:name w:val="Title"/>
    <w:basedOn w:val="Normale"/>
    <w:next w:val="Normale"/>
    <w:link w:val="TitoloCarattere"/>
    <w:qFormat/>
    <w:rsid w:val="009E64AA"/>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9E64A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qFormat/>
    <w:rsid w:val="009E64A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rsid w:val="009E64AA"/>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E64AA"/>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9E64AA"/>
    <w:rPr>
      <w:i/>
      <w:iCs/>
      <w:color w:val="404040" w:themeColor="text1" w:themeTint="BF"/>
      <w:sz w:val="24"/>
      <w:szCs w:val="24"/>
    </w:rPr>
  </w:style>
  <w:style w:type="paragraph" w:styleId="Paragrafoelenco">
    <w:name w:val="List Paragraph"/>
    <w:basedOn w:val="Normale"/>
    <w:uiPriority w:val="34"/>
    <w:qFormat/>
    <w:rsid w:val="009E64AA"/>
    <w:pPr>
      <w:ind w:left="720"/>
      <w:contextualSpacing/>
    </w:pPr>
  </w:style>
  <w:style w:type="character" w:styleId="Enfasiintensa">
    <w:name w:val="Intense Emphasis"/>
    <w:basedOn w:val="Carpredefinitoparagrafo"/>
    <w:uiPriority w:val="21"/>
    <w:qFormat/>
    <w:rsid w:val="009E64AA"/>
    <w:rPr>
      <w:i/>
      <w:iCs/>
      <w:color w:val="0F4761" w:themeColor="accent1" w:themeShade="BF"/>
    </w:rPr>
  </w:style>
  <w:style w:type="paragraph" w:styleId="Citazioneintensa">
    <w:name w:val="Intense Quote"/>
    <w:basedOn w:val="Normale"/>
    <w:next w:val="Normale"/>
    <w:link w:val="CitazioneintensaCarattere"/>
    <w:uiPriority w:val="30"/>
    <w:qFormat/>
    <w:rsid w:val="009E64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E64AA"/>
    <w:rPr>
      <w:i/>
      <w:iCs/>
      <w:color w:val="0F4761" w:themeColor="accent1" w:themeShade="BF"/>
      <w:sz w:val="24"/>
      <w:szCs w:val="24"/>
    </w:rPr>
  </w:style>
  <w:style w:type="character" w:styleId="Riferimentointenso">
    <w:name w:val="Intense Reference"/>
    <w:basedOn w:val="Carpredefinitoparagrafo"/>
    <w:uiPriority w:val="32"/>
    <w:qFormat/>
    <w:rsid w:val="009E64AA"/>
    <w:rPr>
      <w:b/>
      <w:bCs/>
      <w:smallCaps/>
      <w:color w:val="0F4761" w:themeColor="accent1" w:themeShade="BF"/>
      <w:spacing w:val="5"/>
    </w:rPr>
  </w:style>
  <w:style w:type="character" w:styleId="Collegamentoipertestuale">
    <w:name w:val="Hyperlink"/>
    <w:basedOn w:val="Carpredefinitoparagrafo"/>
    <w:rsid w:val="005912D1"/>
    <w:rPr>
      <w:color w:val="467886" w:themeColor="hyperlink"/>
      <w:u w:val="single"/>
    </w:rPr>
  </w:style>
  <w:style w:type="character" w:styleId="Menzionenonrisolta">
    <w:name w:val="Unresolved Mention"/>
    <w:basedOn w:val="Carpredefinitoparagrafo"/>
    <w:uiPriority w:val="99"/>
    <w:semiHidden/>
    <w:unhideWhenUsed/>
    <w:rsid w:val="005912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689216">
      <w:bodyDiv w:val="1"/>
      <w:marLeft w:val="0"/>
      <w:marRight w:val="0"/>
      <w:marTop w:val="0"/>
      <w:marBottom w:val="0"/>
      <w:divBdr>
        <w:top w:val="none" w:sz="0" w:space="0" w:color="auto"/>
        <w:left w:val="none" w:sz="0" w:space="0" w:color="auto"/>
        <w:bottom w:val="none" w:sz="0" w:space="0" w:color="auto"/>
        <w:right w:val="none" w:sz="0" w:space="0" w:color="auto"/>
      </w:divBdr>
      <w:divsChild>
        <w:div w:id="224218396">
          <w:marLeft w:val="0"/>
          <w:marRight w:val="0"/>
          <w:marTop w:val="0"/>
          <w:marBottom w:val="0"/>
          <w:divBdr>
            <w:top w:val="none" w:sz="0" w:space="0" w:color="auto"/>
            <w:left w:val="none" w:sz="0" w:space="0" w:color="auto"/>
            <w:bottom w:val="none" w:sz="0" w:space="0" w:color="auto"/>
            <w:right w:val="none" w:sz="0" w:space="0" w:color="auto"/>
          </w:divBdr>
        </w:div>
        <w:div w:id="1050105781">
          <w:marLeft w:val="0"/>
          <w:marRight w:val="0"/>
          <w:marTop w:val="0"/>
          <w:marBottom w:val="0"/>
          <w:divBdr>
            <w:top w:val="none" w:sz="0" w:space="0" w:color="auto"/>
            <w:left w:val="none" w:sz="0" w:space="0" w:color="auto"/>
            <w:bottom w:val="none" w:sz="0" w:space="0" w:color="auto"/>
            <w:right w:val="none" w:sz="0" w:space="0" w:color="auto"/>
          </w:divBdr>
        </w:div>
        <w:div w:id="1746410937">
          <w:marLeft w:val="0"/>
          <w:marRight w:val="0"/>
          <w:marTop w:val="0"/>
          <w:marBottom w:val="0"/>
          <w:divBdr>
            <w:top w:val="none" w:sz="0" w:space="0" w:color="auto"/>
            <w:left w:val="none" w:sz="0" w:space="0" w:color="auto"/>
            <w:bottom w:val="none" w:sz="0" w:space="0" w:color="auto"/>
            <w:right w:val="none" w:sz="0" w:space="0" w:color="auto"/>
          </w:divBdr>
        </w:div>
        <w:div w:id="1548638986">
          <w:marLeft w:val="0"/>
          <w:marRight w:val="0"/>
          <w:marTop w:val="0"/>
          <w:marBottom w:val="0"/>
          <w:divBdr>
            <w:top w:val="none" w:sz="0" w:space="0" w:color="auto"/>
            <w:left w:val="none" w:sz="0" w:space="0" w:color="auto"/>
            <w:bottom w:val="none" w:sz="0" w:space="0" w:color="auto"/>
            <w:right w:val="none" w:sz="0" w:space="0" w:color="auto"/>
          </w:divBdr>
        </w:div>
        <w:div w:id="636034302">
          <w:marLeft w:val="0"/>
          <w:marRight w:val="0"/>
          <w:marTop w:val="0"/>
          <w:marBottom w:val="0"/>
          <w:divBdr>
            <w:top w:val="none" w:sz="0" w:space="0" w:color="auto"/>
            <w:left w:val="none" w:sz="0" w:space="0" w:color="auto"/>
            <w:bottom w:val="none" w:sz="0" w:space="0" w:color="auto"/>
            <w:right w:val="none" w:sz="0" w:space="0" w:color="auto"/>
          </w:divBdr>
        </w:div>
        <w:div w:id="1272853896">
          <w:marLeft w:val="0"/>
          <w:marRight w:val="0"/>
          <w:marTop w:val="0"/>
          <w:marBottom w:val="0"/>
          <w:divBdr>
            <w:top w:val="none" w:sz="0" w:space="0" w:color="auto"/>
            <w:left w:val="none" w:sz="0" w:space="0" w:color="auto"/>
            <w:bottom w:val="none" w:sz="0" w:space="0" w:color="auto"/>
            <w:right w:val="none" w:sz="0" w:space="0" w:color="auto"/>
          </w:divBdr>
        </w:div>
        <w:div w:id="1146818125">
          <w:marLeft w:val="0"/>
          <w:marRight w:val="0"/>
          <w:marTop w:val="0"/>
          <w:marBottom w:val="0"/>
          <w:divBdr>
            <w:top w:val="none" w:sz="0" w:space="0" w:color="auto"/>
            <w:left w:val="none" w:sz="0" w:space="0" w:color="auto"/>
            <w:bottom w:val="none" w:sz="0" w:space="0" w:color="auto"/>
            <w:right w:val="none" w:sz="0" w:space="0" w:color="auto"/>
          </w:divBdr>
        </w:div>
        <w:div w:id="499084184">
          <w:marLeft w:val="0"/>
          <w:marRight w:val="0"/>
          <w:marTop w:val="0"/>
          <w:marBottom w:val="0"/>
          <w:divBdr>
            <w:top w:val="none" w:sz="0" w:space="0" w:color="auto"/>
            <w:left w:val="none" w:sz="0" w:space="0" w:color="auto"/>
            <w:bottom w:val="none" w:sz="0" w:space="0" w:color="auto"/>
            <w:right w:val="none" w:sz="0" w:space="0" w:color="auto"/>
          </w:divBdr>
        </w:div>
        <w:div w:id="1024940702">
          <w:marLeft w:val="0"/>
          <w:marRight w:val="0"/>
          <w:marTop w:val="0"/>
          <w:marBottom w:val="0"/>
          <w:divBdr>
            <w:top w:val="none" w:sz="0" w:space="0" w:color="auto"/>
            <w:left w:val="none" w:sz="0" w:space="0" w:color="auto"/>
            <w:bottom w:val="none" w:sz="0" w:space="0" w:color="auto"/>
            <w:right w:val="none" w:sz="0" w:space="0" w:color="auto"/>
          </w:divBdr>
        </w:div>
        <w:div w:id="99297290">
          <w:marLeft w:val="0"/>
          <w:marRight w:val="0"/>
          <w:marTop w:val="0"/>
          <w:marBottom w:val="0"/>
          <w:divBdr>
            <w:top w:val="none" w:sz="0" w:space="0" w:color="auto"/>
            <w:left w:val="none" w:sz="0" w:space="0" w:color="auto"/>
            <w:bottom w:val="none" w:sz="0" w:space="0" w:color="auto"/>
            <w:right w:val="none" w:sz="0" w:space="0" w:color="auto"/>
          </w:divBdr>
        </w:div>
        <w:div w:id="265164425">
          <w:marLeft w:val="0"/>
          <w:marRight w:val="0"/>
          <w:marTop w:val="0"/>
          <w:marBottom w:val="0"/>
          <w:divBdr>
            <w:top w:val="none" w:sz="0" w:space="0" w:color="auto"/>
            <w:left w:val="none" w:sz="0" w:space="0" w:color="auto"/>
            <w:bottom w:val="none" w:sz="0" w:space="0" w:color="auto"/>
            <w:right w:val="none" w:sz="0" w:space="0" w:color="auto"/>
          </w:divBdr>
        </w:div>
        <w:div w:id="453717797">
          <w:marLeft w:val="0"/>
          <w:marRight w:val="0"/>
          <w:marTop w:val="0"/>
          <w:marBottom w:val="0"/>
          <w:divBdr>
            <w:top w:val="none" w:sz="0" w:space="0" w:color="auto"/>
            <w:left w:val="none" w:sz="0" w:space="0" w:color="auto"/>
            <w:bottom w:val="none" w:sz="0" w:space="0" w:color="auto"/>
            <w:right w:val="none" w:sz="0" w:space="0" w:color="auto"/>
          </w:divBdr>
        </w:div>
        <w:div w:id="1019742363">
          <w:marLeft w:val="0"/>
          <w:marRight w:val="0"/>
          <w:marTop w:val="0"/>
          <w:marBottom w:val="0"/>
          <w:divBdr>
            <w:top w:val="none" w:sz="0" w:space="0" w:color="auto"/>
            <w:left w:val="none" w:sz="0" w:space="0" w:color="auto"/>
            <w:bottom w:val="none" w:sz="0" w:space="0" w:color="auto"/>
            <w:right w:val="none" w:sz="0" w:space="0" w:color="auto"/>
          </w:divBdr>
        </w:div>
        <w:div w:id="617446527">
          <w:marLeft w:val="0"/>
          <w:marRight w:val="0"/>
          <w:marTop w:val="0"/>
          <w:marBottom w:val="0"/>
          <w:divBdr>
            <w:top w:val="none" w:sz="0" w:space="0" w:color="auto"/>
            <w:left w:val="none" w:sz="0" w:space="0" w:color="auto"/>
            <w:bottom w:val="none" w:sz="0" w:space="0" w:color="auto"/>
            <w:right w:val="none" w:sz="0" w:space="0" w:color="auto"/>
          </w:divBdr>
        </w:div>
        <w:div w:id="1195003213">
          <w:marLeft w:val="0"/>
          <w:marRight w:val="0"/>
          <w:marTop w:val="0"/>
          <w:marBottom w:val="0"/>
          <w:divBdr>
            <w:top w:val="none" w:sz="0" w:space="0" w:color="auto"/>
            <w:left w:val="none" w:sz="0" w:space="0" w:color="auto"/>
            <w:bottom w:val="none" w:sz="0" w:space="0" w:color="auto"/>
            <w:right w:val="none" w:sz="0" w:space="0" w:color="auto"/>
          </w:divBdr>
        </w:div>
        <w:div w:id="358941448">
          <w:marLeft w:val="0"/>
          <w:marRight w:val="0"/>
          <w:marTop w:val="0"/>
          <w:marBottom w:val="0"/>
          <w:divBdr>
            <w:top w:val="none" w:sz="0" w:space="0" w:color="auto"/>
            <w:left w:val="none" w:sz="0" w:space="0" w:color="auto"/>
            <w:bottom w:val="none" w:sz="0" w:space="0" w:color="auto"/>
            <w:right w:val="none" w:sz="0" w:space="0" w:color="auto"/>
          </w:divBdr>
        </w:div>
        <w:div w:id="1583568580">
          <w:marLeft w:val="0"/>
          <w:marRight w:val="0"/>
          <w:marTop w:val="0"/>
          <w:marBottom w:val="0"/>
          <w:divBdr>
            <w:top w:val="none" w:sz="0" w:space="0" w:color="auto"/>
            <w:left w:val="none" w:sz="0" w:space="0" w:color="auto"/>
            <w:bottom w:val="none" w:sz="0" w:space="0" w:color="auto"/>
            <w:right w:val="none" w:sz="0" w:space="0" w:color="auto"/>
          </w:divBdr>
        </w:div>
        <w:div w:id="778914105">
          <w:marLeft w:val="0"/>
          <w:marRight w:val="0"/>
          <w:marTop w:val="0"/>
          <w:marBottom w:val="0"/>
          <w:divBdr>
            <w:top w:val="none" w:sz="0" w:space="0" w:color="auto"/>
            <w:left w:val="none" w:sz="0" w:space="0" w:color="auto"/>
            <w:bottom w:val="none" w:sz="0" w:space="0" w:color="auto"/>
            <w:right w:val="none" w:sz="0" w:space="0" w:color="auto"/>
          </w:divBdr>
        </w:div>
      </w:divsChild>
    </w:div>
    <w:div w:id="1980302132">
      <w:bodyDiv w:val="1"/>
      <w:marLeft w:val="0"/>
      <w:marRight w:val="0"/>
      <w:marTop w:val="0"/>
      <w:marBottom w:val="0"/>
      <w:divBdr>
        <w:top w:val="none" w:sz="0" w:space="0" w:color="auto"/>
        <w:left w:val="none" w:sz="0" w:space="0" w:color="auto"/>
        <w:bottom w:val="none" w:sz="0" w:space="0" w:color="auto"/>
        <w:right w:val="none" w:sz="0" w:space="0" w:color="auto"/>
      </w:divBdr>
      <w:divsChild>
        <w:div w:id="1415861019">
          <w:marLeft w:val="0"/>
          <w:marRight w:val="0"/>
          <w:marTop w:val="0"/>
          <w:marBottom w:val="0"/>
          <w:divBdr>
            <w:top w:val="none" w:sz="0" w:space="0" w:color="auto"/>
            <w:left w:val="none" w:sz="0" w:space="0" w:color="auto"/>
            <w:bottom w:val="none" w:sz="0" w:space="0" w:color="auto"/>
            <w:right w:val="none" w:sz="0" w:space="0" w:color="auto"/>
          </w:divBdr>
        </w:div>
        <w:div w:id="1101997529">
          <w:marLeft w:val="0"/>
          <w:marRight w:val="0"/>
          <w:marTop w:val="0"/>
          <w:marBottom w:val="0"/>
          <w:divBdr>
            <w:top w:val="none" w:sz="0" w:space="0" w:color="auto"/>
            <w:left w:val="none" w:sz="0" w:space="0" w:color="auto"/>
            <w:bottom w:val="none" w:sz="0" w:space="0" w:color="auto"/>
            <w:right w:val="none" w:sz="0" w:space="0" w:color="auto"/>
          </w:divBdr>
        </w:div>
        <w:div w:id="325520153">
          <w:marLeft w:val="0"/>
          <w:marRight w:val="0"/>
          <w:marTop w:val="0"/>
          <w:marBottom w:val="0"/>
          <w:divBdr>
            <w:top w:val="none" w:sz="0" w:space="0" w:color="auto"/>
            <w:left w:val="none" w:sz="0" w:space="0" w:color="auto"/>
            <w:bottom w:val="none" w:sz="0" w:space="0" w:color="auto"/>
            <w:right w:val="none" w:sz="0" w:space="0" w:color="auto"/>
          </w:divBdr>
        </w:div>
        <w:div w:id="1378091183">
          <w:marLeft w:val="0"/>
          <w:marRight w:val="0"/>
          <w:marTop w:val="0"/>
          <w:marBottom w:val="0"/>
          <w:divBdr>
            <w:top w:val="none" w:sz="0" w:space="0" w:color="auto"/>
            <w:left w:val="none" w:sz="0" w:space="0" w:color="auto"/>
            <w:bottom w:val="none" w:sz="0" w:space="0" w:color="auto"/>
            <w:right w:val="none" w:sz="0" w:space="0" w:color="auto"/>
          </w:divBdr>
        </w:div>
        <w:div w:id="818107940">
          <w:marLeft w:val="0"/>
          <w:marRight w:val="0"/>
          <w:marTop w:val="0"/>
          <w:marBottom w:val="0"/>
          <w:divBdr>
            <w:top w:val="none" w:sz="0" w:space="0" w:color="auto"/>
            <w:left w:val="none" w:sz="0" w:space="0" w:color="auto"/>
            <w:bottom w:val="none" w:sz="0" w:space="0" w:color="auto"/>
            <w:right w:val="none" w:sz="0" w:space="0" w:color="auto"/>
          </w:divBdr>
        </w:div>
        <w:div w:id="1222398214">
          <w:marLeft w:val="0"/>
          <w:marRight w:val="0"/>
          <w:marTop w:val="0"/>
          <w:marBottom w:val="0"/>
          <w:divBdr>
            <w:top w:val="none" w:sz="0" w:space="0" w:color="auto"/>
            <w:left w:val="none" w:sz="0" w:space="0" w:color="auto"/>
            <w:bottom w:val="none" w:sz="0" w:space="0" w:color="auto"/>
            <w:right w:val="none" w:sz="0" w:space="0" w:color="auto"/>
          </w:divBdr>
        </w:div>
        <w:div w:id="23017900">
          <w:marLeft w:val="0"/>
          <w:marRight w:val="0"/>
          <w:marTop w:val="0"/>
          <w:marBottom w:val="0"/>
          <w:divBdr>
            <w:top w:val="none" w:sz="0" w:space="0" w:color="auto"/>
            <w:left w:val="none" w:sz="0" w:space="0" w:color="auto"/>
            <w:bottom w:val="none" w:sz="0" w:space="0" w:color="auto"/>
            <w:right w:val="none" w:sz="0" w:space="0" w:color="auto"/>
          </w:divBdr>
        </w:div>
        <w:div w:id="220990208">
          <w:marLeft w:val="0"/>
          <w:marRight w:val="0"/>
          <w:marTop w:val="0"/>
          <w:marBottom w:val="0"/>
          <w:divBdr>
            <w:top w:val="none" w:sz="0" w:space="0" w:color="auto"/>
            <w:left w:val="none" w:sz="0" w:space="0" w:color="auto"/>
            <w:bottom w:val="none" w:sz="0" w:space="0" w:color="auto"/>
            <w:right w:val="none" w:sz="0" w:space="0" w:color="auto"/>
          </w:divBdr>
        </w:div>
        <w:div w:id="421146622">
          <w:marLeft w:val="0"/>
          <w:marRight w:val="0"/>
          <w:marTop w:val="0"/>
          <w:marBottom w:val="0"/>
          <w:divBdr>
            <w:top w:val="none" w:sz="0" w:space="0" w:color="auto"/>
            <w:left w:val="none" w:sz="0" w:space="0" w:color="auto"/>
            <w:bottom w:val="none" w:sz="0" w:space="0" w:color="auto"/>
            <w:right w:val="none" w:sz="0" w:space="0" w:color="auto"/>
          </w:divBdr>
        </w:div>
        <w:div w:id="699819855">
          <w:marLeft w:val="0"/>
          <w:marRight w:val="0"/>
          <w:marTop w:val="0"/>
          <w:marBottom w:val="0"/>
          <w:divBdr>
            <w:top w:val="none" w:sz="0" w:space="0" w:color="auto"/>
            <w:left w:val="none" w:sz="0" w:space="0" w:color="auto"/>
            <w:bottom w:val="none" w:sz="0" w:space="0" w:color="auto"/>
            <w:right w:val="none" w:sz="0" w:space="0" w:color="auto"/>
          </w:divBdr>
        </w:div>
        <w:div w:id="1925458037">
          <w:marLeft w:val="0"/>
          <w:marRight w:val="0"/>
          <w:marTop w:val="0"/>
          <w:marBottom w:val="0"/>
          <w:divBdr>
            <w:top w:val="none" w:sz="0" w:space="0" w:color="auto"/>
            <w:left w:val="none" w:sz="0" w:space="0" w:color="auto"/>
            <w:bottom w:val="none" w:sz="0" w:space="0" w:color="auto"/>
            <w:right w:val="none" w:sz="0" w:space="0" w:color="auto"/>
          </w:divBdr>
        </w:div>
        <w:div w:id="704795194">
          <w:marLeft w:val="0"/>
          <w:marRight w:val="0"/>
          <w:marTop w:val="0"/>
          <w:marBottom w:val="0"/>
          <w:divBdr>
            <w:top w:val="none" w:sz="0" w:space="0" w:color="auto"/>
            <w:left w:val="none" w:sz="0" w:space="0" w:color="auto"/>
            <w:bottom w:val="none" w:sz="0" w:space="0" w:color="auto"/>
            <w:right w:val="none" w:sz="0" w:space="0" w:color="auto"/>
          </w:divBdr>
        </w:div>
        <w:div w:id="395082291">
          <w:marLeft w:val="0"/>
          <w:marRight w:val="0"/>
          <w:marTop w:val="0"/>
          <w:marBottom w:val="0"/>
          <w:divBdr>
            <w:top w:val="none" w:sz="0" w:space="0" w:color="auto"/>
            <w:left w:val="none" w:sz="0" w:space="0" w:color="auto"/>
            <w:bottom w:val="none" w:sz="0" w:space="0" w:color="auto"/>
            <w:right w:val="none" w:sz="0" w:space="0" w:color="auto"/>
          </w:divBdr>
        </w:div>
        <w:div w:id="749622405">
          <w:marLeft w:val="0"/>
          <w:marRight w:val="0"/>
          <w:marTop w:val="0"/>
          <w:marBottom w:val="0"/>
          <w:divBdr>
            <w:top w:val="none" w:sz="0" w:space="0" w:color="auto"/>
            <w:left w:val="none" w:sz="0" w:space="0" w:color="auto"/>
            <w:bottom w:val="none" w:sz="0" w:space="0" w:color="auto"/>
            <w:right w:val="none" w:sz="0" w:space="0" w:color="auto"/>
          </w:divBdr>
        </w:div>
        <w:div w:id="228421526">
          <w:marLeft w:val="0"/>
          <w:marRight w:val="0"/>
          <w:marTop w:val="0"/>
          <w:marBottom w:val="0"/>
          <w:divBdr>
            <w:top w:val="none" w:sz="0" w:space="0" w:color="auto"/>
            <w:left w:val="none" w:sz="0" w:space="0" w:color="auto"/>
            <w:bottom w:val="none" w:sz="0" w:space="0" w:color="auto"/>
            <w:right w:val="none" w:sz="0" w:space="0" w:color="auto"/>
          </w:divBdr>
        </w:div>
        <w:div w:id="1964846858">
          <w:marLeft w:val="0"/>
          <w:marRight w:val="0"/>
          <w:marTop w:val="0"/>
          <w:marBottom w:val="0"/>
          <w:divBdr>
            <w:top w:val="none" w:sz="0" w:space="0" w:color="auto"/>
            <w:left w:val="none" w:sz="0" w:space="0" w:color="auto"/>
            <w:bottom w:val="none" w:sz="0" w:space="0" w:color="auto"/>
            <w:right w:val="none" w:sz="0" w:space="0" w:color="auto"/>
          </w:divBdr>
        </w:div>
        <w:div w:id="673535866">
          <w:marLeft w:val="0"/>
          <w:marRight w:val="0"/>
          <w:marTop w:val="0"/>
          <w:marBottom w:val="0"/>
          <w:divBdr>
            <w:top w:val="none" w:sz="0" w:space="0" w:color="auto"/>
            <w:left w:val="none" w:sz="0" w:space="0" w:color="auto"/>
            <w:bottom w:val="none" w:sz="0" w:space="0" w:color="auto"/>
            <w:right w:val="none" w:sz="0" w:space="0" w:color="auto"/>
          </w:divBdr>
        </w:div>
        <w:div w:id="1946570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omune.bolzano.bz.it/Servizi/Chiedere-la-Carta-d-identita-elettronic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654</Words>
  <Characters>3730</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Comune di Bolzano</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Buonfrate</dc:creator>
  <cp:keywords/>
  <dc:description/>
  <cp:lastModifiedBy>Manuela Buonfrate</cp:lastModifiedBy>
  <cp:revision>3</cp:revision>
  <cp:lastPrinted>2025-09-04T07:43:00Z</cp:lastPrinted>
  <dcterms:created xsi:type="dcterms:W3CDTF">2025-09-04T07:37:00Z</dcterms:created>
  <dcterms:modified xsi:type="dcterms:W3CDTF">2025-09-04T07:44:00Z</dcterms:modified>
</cp:coreProperties>
</file>